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MPSV — Maßnahmen der zuständigen Behörden gegen Betreiber und Anwender</w:t>
      </w:r>
    </w:p>
    <w:p>
      <w:r>
        <w:rPr>
          <w:color w:val="555555"/>
          <w:sz w:val="18"/>
        </w:rPr>
        <w:t xml:space="preserve">Medizinprodukte-Sicherheitsplanverordnung</w:t>
      </w:r>
    </w:p>
    <w:p>
      <w:r>
        <w:rPr>
          <w:color w:val="555555"/>
          <w:sz w:val="18"/>
        </w:rPr>
        <w:t xml:space="preserve">Historische Fassung: Stand 10.06.2019 bis 26.05.2021. Dies ist nicht die aktuelle Fassung.</w:t>
      </w:r>
    </w:p>
    <w:p>
      <w:r>
        <w:t xml:space="preserve">Soweit durch Maßnahmen nach den §§ 14 und 15 eine ausreichende Risikominimierung nicht oder nicht hinreichend schnell erreicht wird oder erreicht werden kann, treffen die zuständigen Behörden die notwendigen Maßnahmen, um das Betreiben oder Anwenden der betroffenen Medizinprodukte zu untersagen oder einzuschränken.</w:t>
      </w:r>
    </w:p>
    <w:p>
      <w:r>
        <w:rPr>
          <w:color w:val="555555"/>
          <w:sz w:val="17"/>
        </w:rPr>
        <w:t xml:space="preserve">Zitiervorschlag: § 17 MPSV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https://recht.nulegal.eu/gesetze/MPSV/17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