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MPSV — Maßnahmen der zuständigen Behörden</w:t>
      </w:r>
    </w:p>
    <w:p>
      <w:r>
        <w:rPr>
          <w:color w:val="555555"/>
          <w:sz w:val="18"/>
        </w:rPr>
        <w:t xml:space="preserve">Medizinprodukte-Sicherheitsplanverordnung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Soweit ein Verantwortlicher nach § 5 des Medizinproduktegesetzes die erforderlichen korrektiven Maßnahmen nicht eigenverantwortlich trifft oder die getroffenen Maßnahmen nicht ausreichen, trifft die zuständige Behörde die notwendigen Maßnahmen gegen den Verantwortlichen nach § 5 des Medizinproduktegesetzes oder den in Deutschland ansässigen Vertreiber. Dies gilt für den Sponsor oder die die klinischen Prüfung oder die Leistungsbewertungsprüfung durchführenden Personen entsprechend.</w:t>
      </w:r>
    </w:p>
    <w:p>
      <w:r>
        <w:rPr>
          <w:color w:val="555555"/>
          <w:sz w:val="17"/>
        </w:rPr>
        <w:t xml:space="preserve">Zitiervorschlag: § 15 MPSV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https://recht.nulegal.eu/gesetze/MPSV/15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