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MPSV — Abschluss der Risikobewertung</w:t>
      </w:r>
    </w:p>
    <w:p>
      <w:r>
        <w:rPr>
          <w:color w:val="555555"/>
          <w:sz w:val="18"/>
        </w:rPr>
        <w:t xml:space="preserve">Medizinprodukte-Sicherheitsplanverordnung</w:t>
      </w:r>
    </w:p>
    <w:p>
      <w:r>
        <w:rPr>
          <w:color w:val="555555"/>
          <w:sz w:val="18"/>
        </w:rPr>
        <w:t xml:space="preserve">Historische Fassung: Stand 10.06.2019 bis 26.05.2021. Dies ist nicht die aktuelle Fassung.</w:t>
      </w:r>
    </w:p>
    <w:p>
      <w:r>
        <w:t xml:space="preserve">Die zuständige Bundesoberbehörde teilt das Ergebnis ihrer Risikobewertung dem Verantwortlichen nach § 5 des Medizinproduktegesetzes und der Person, die ihr das Vorkommnis oder das schwerwiegende unerwünschte Ereignis gemeldet hat, sowie nach Maßgabe des § 20 den zuständigen Behörden mit. Die Risikobewertung durch die Bundesoberbehörde ist damit abgeschlossen. Auf der Grundlage neuer Erkenntnisse kann eine erneute Risikobewertung erforderlich werden.</w:t>
      </w:r>
    </w:p>
    <w:p>
      <w:r>
        <w:rPr>
          <w:color w:val="555555"/>
          <w:sz w:val="17"/>
        </w:rPr>
        <w:t xml:space="preserve">Zitiervorschlag: § 13 MPSV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https://recht.nulegal.eu/gesetze/MPSV/13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