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MPSV — Mitwirkungspflichten</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(1) Die in § 11 Abs. 1 Satz 1 genannten Personen haben die zuständige Bundesoberbehörde bei der Erfüllung ihrer Aufgaben nach § 8 Satz 1 zu unterstützen und die verlangten Auskünfte zu erteilen. Der Auskunftspflichtige kann die Auskunft auf solche Fragen verweigern, deren Beantwortung ihn selbst oder einen seiner in § 383 Abs. 1 Nr. 1 bis 3 der Zivilprozessordnung bezeichneten Angehörigen der Gefahr strafrechtlicher Verfolgung oder eines Verfahrens nach dem Gesetz über Ordnungswidrigkeiten aussetzen würde; er ist darauf hinzuweisen. Im Übrigen bleiben Bestimmungen zum Schutz personenbezogener Daten, gesetzliche Geheimhaltungspflichten und die ärztliche Schweigepflicht unberührt.</w:t>
      </w:r>
    </w:p>
    <w:p>
      <w:r>
        <w:t xml:space="preserve">(2) Der Verantwortliche nach § 5 des Medizinproduktegesetzes hat die für die Risikobewertung erforderlichen Untersuchungen unverzüglich durchzuführen und der zuständigen Bundesoberbehörde die Ergebnisse mitzuteilen. Er hat zu jeder Meldung einen Abschlussbericht sowie auf Verlangen alle zweckdienlichen Unterlagen, insbesondere relevante Auszüge aus der Risikoanalyse und der klinischen Bewertung, vorzulegen. Vor einer zerstörenden Prüfung des betroffenen Produkts oder der vorhandenen Muster der betroffenen Produktcharge hat sich der Verantwortliche nach § 5 des Medizinproduktegesetzes mit der zuständigen Bundesoberbehörde ins Benehmen zu setzen.</w:t>
      </w:r>
    </w:p>
    <w:p>
      <w:r>
        <w:t xml:space="preserve">(3) Im Falle von klinischen Prüfungen oder Leistungsbewertungsprüfungen gelten die in Absatz 1 und 2 genannten Mitwirkungspflichten entsprechend für den Sponsor sowie die die klinische Prüfung oder die Leistungsbewertungsprüfung durchführenden Personen.</w:t>
      </w:r>
    </w:p>
    <w:p>
      <w:r>
        <w:t xml:space="preserve">(4) Anwender und Betreiber tragen dafür Sorge, dass Medizinprodukte und Probematerialien, die im Verdacht stehen, an einem Vorkommnis beteiligt zu sein, nicht verworfen werden, bis die Risikobewertung der zuständigen Bundesoberbehörde abgeschlossen ist. Dies schließt nicht aus, dass sie diese Medizinprodukte und Probematerialien dem Verantwortlichen nach § 5 des Medizinproduktegesetzes oder dem Sponsor zum Zwecke der Untersuchung überlassen.</w:t>
      </w:r>
    </w:p>
    <w:p>
      <w:r>
        <w:t xml:space="preserve">(5) Der Verantwortliche nach § 5 des Medizinproduktegesetzes hat auf Verlangen der zuständigen Bundesoberbehörde Unterlagen, die für die Sachverhaltsaufklärung und Risikobewertung notwendig sind, elektronisch zur Verfügung zu stellen, sofern ihm dies möglich und zumutbar ist.</w:t>
      </w:r>
    </w:p>
    <w:p>
      <w:r>
        <w:rPr>
          <w:color w:val="555555"/>
          <w:sz w:val="17"/>
        </w:rPr>
        <w:t xml:space="preserve">Zitiervorschlag: § 12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