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MPRZV (Brandenburg) — Inkrafttreten, Außerkrafttreten</w:t>
      </w:r>
    </w:p>
    <w:p>
      <w:r>
        <w:rPr>
          <w:color w:val="555555"/>
          <w:sz w:val="18"/>
        </w:rPr>
        <w:t xml:space="preserve">Medizinprodukterechtzuständigkeitsverordnung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Gleichzeitig tritt die Verordnung über Zuständigkeiten nach dem Medizinproduktegesetz, der Medizinprodukte-Betreiberverordnung und der Medizinprodukte-Sicherheitsplanverordnung vom 9. Februar 2005 ( GVBl. II S. 138), die zuletzt durch Artikel 23 des Gesetzes vom 25.Januar 2016 (GVBl. I Nr. 5 S. 21) geändert worden ist, außer Kraft.</w:t>
      </w:r>
    </w:p>
    <w:p>
      <w:r>
        <w:t xml:space="preserve">Einzelnorm</w:t>
      </w:r>
    </w:p>
    <w:p>
      <w:r>
        <w:t xml:space="preserve">Potsdam, den 8. Juni 2021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Die Ministerin für Soziales, Gesundheit,</w:t>
      </w:r>
    </w:p>
    <w:p>
      <w:r>
        <w:t xml:space="preserve">Integration und Verbraucherschutz</w:t>
      </w:r>
    </w:p>
    <w:p>
      <w:r>
        <w:t xml:space="preserve">In Vertretung</w:t>
      </w:r>
    </w:p>
    <w:p>
      <w:r>
        <w:t xml:space="preserve">Anna Heyer-Stuffer</w:t>
      </w:r>
    </w:p>
    <w:p>
      <w:r>
        <w:t xml:space="preserve">Der Minister für Wirtschaft,</w:t>
      </w:r>
    </w:p>
    <w:p>
      <w:r>
        <w:t xml:space="preserve">Arbeit und Energie</w:t>
      </w:r>
    </w:p>
    <w:p>
      <w:r>
        <w:t xml:space="preserve">Prof. Dr.-Ing. Jörg Steinbach</w:t>
      </w:r>
    </w:p>
    <w:p>
      <w:r>
        <w:rPr>
          <w:color w:val="555555"/>
          <w:sz w:val="17"/>
        </w:rPr>
        <w:t xml:space="preserve">Zitiervorschlag: § 4 MPRZV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https://recht.nulegal.eu/gesetze/MPRZV/4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