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MPRZV (Brandenburg) — Subsidiarität</w:t>
      </w:r>
    </w:p>
    <w:p>
      <w:r>
        <w:rPr>
          <w:color w:val="555555"/>
          <w:sz w:val="18"/>
        </w:rPr>
        <w:t xml:space="preserve">Medizinprodukterechtzuständigkeitsverordnung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Zuständigkeitsregelungen anderer Rechtsvorschriften gehen vor.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MPRZV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https://recht.nulegal.eu/gesetze/MPRZV/3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