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MPKPV — Änderungen</w:t>
      </w:r>
    </w:p>
    <w:p>
      <w:r>
        <w:rPr>
          <w:color w:val="555555"/>
          <w:sz w:val="18"/>
        </w:rPr>
        <w:t xml:space="preserve">Verordnung über klinische Prüfungen von Medizinprodukten</w:t>
      </w:r>
    </w:p>
    <w:p>
      <w:r>
        <w:rPr>
          <w:color w:val="555555"/>
          <w:sz w:val="18"/>
        </w:rPr>
        <w:t xml:space="preserve">Historische Fassung: Stand 17.07.2020 bis 26.05.2021. Dies ist nicht die aktuelle Fassung.</w:t>
      </w:r>
    </w:p>
    <w:p>
      <w:r>
        <w:t xml:space="preserve">(1) Änderungen nach § 22c Absatz 1 des Medizinproduktegesetzes sind vom Sponsor über das zentrale Erfassungssystem beim Bundesinstitut für Arzneimittel und Medizinprodukte anzuzeigen. Änderungen gegenüber den gemäß § 3 eingereichten Unterlagen sind kenntlich zu machen, die geänderten Unterlagen sind der Änderungsanzeige beizufügen. Stellt die zuständige Bundesoberbehörde fest, dass eine angezeigte Änderung die Voraussetzungen einer wesentlichen Änderung erfüllt, teilt sie dies dem Sponsor unverzüglich mit und informiert die zuständigen Behörden über das zentrale Erfassungssystem beim Bundesinstitut für Arzneimittel und Medizinprodukte. Für Anträge nach § 22c Absatz 2 des Medizinproduktegesetzes gilt Satz 1 entsprechend. Das Bundesinstitut für Arzneimittel und Medizinprodukte teilt über ein automatisiertes elektronisches Verfahren dem Sponsor mit, dass der Antrag oder die Änderungsanzeige eingereicht wurde.</w:t>
      </w:r>
    </w:p>
    <w:p>
      <w:r>
        <w:t xml:space="preserve">(2) Änderungen von klinischen Prüfungen oder Leistungsbewertungsprüfungen, für die gemäß § 7 Absatz 1 eine Befreiung von der Genehmigungspflicht erteilt wurde, sind über das zentrale Erfassungssystem beim Bundesinstitut für Arzneimittel und Medizinprodukte anzuzeigen. Änderungen gegenüber den gemäß § 3 oder § 7 Absatz 2 eingereichten Unterlagen sind kenntlich zu machen, die geänderten Unterlagen sind der Änderungsanzeige beizufügen. § 22c Absatz 2 Nummer 2 und Absatz 3 bis 5 des Medizinproduktegesetzes gilt für wesentliche Änderungen entsprechend. Für die Antragstellung nach Satz 3 gelten die Sätze 1 und 2 entsprechend.</w:t>
      </w:r>
    </w:p>
    <w:p>
      <w:r>
        <w:t xml:space="preserve">(3) Für die Bewertung wesentlicher Änderungen von multizentrischen klinischen Prüfungen und Leistungsbewertungsprüfungen gilt § 5 Absatz 2 Satz 2 und 3 entsprechend, sofern nach Auffassung der zuständigen Ethik-Kommission dies angesichts der Auswirkungen der beantragten wesentlichen Änderung auf die Qualifikation der Prüfer und Eignung der Prüfeinrichtungen erforderlich ist. Die zuständige Ethik-Kommission unterrichtet die beteiligten Ethik-Kommissionen und den Sponsor unverzüglich nach Eingang des Antrags über ihre Auffassung.</w:t>
      </w:r>
    </w:p>
    <w:p>
      <w:r>
        <w:t xml:space="preserve">(4) Änderungen der Anträge und der Antragsunterlagen während der Verfahren nach den §§ 5 bis 7 sind mit Ausnahme von Änderungen gemäß § 6 Absatz 3 Satz 2 nicht zulässig.</w:t>
      </w:r>
    </w:p>
    <w:p>
      <w:r>
        <w:rPr>
          <w:color w:val="555555"/>
          <w:sz w:val="17"/>
        </w:rPr>
        <w:t xml:space="preserve">Zitiervorschlag: § 8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