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MPKPV — Bewertungsverfahren</w:t>
      </w:r>
    </w:p>
    <w:p>
      <w:r>
        <w:rPr>
          <w:color w:val="555555"/>
          <w:sz w:val="18"/>
        </w:rPr>
        <w:t xml:space="preserve">Verordnung über klinische Prüfungen von Medizinprodukten</w:t>
      </w:r>
    </w:p>
    <w:p>
      <w:r>
        <w:rPr>
          <w:color w:val="555555"/>
          <w:sz w:val="18"/>
        </w:rPr>
        <w:t xml:space="preserve">Historische Fassung: Stand 10.07.2020 bis 26.05.2021. Dies ist nicht die aktuelle Fassung.</w:t>
      </w:r>
    </w:p>
    <w:p>
      <w:r>
        <w:t xml:space="preserve">(1) Die zuständige Ethik-Kommission bestätigt dem Sponsor und den beteiligten Ethik-Kommissionen innerhalb von zehn Tagen den Eingang des ordnungsgemäßen Antrags unter Angabe des Eingangsdatums. Wenn Unterlagen zum Antrag ohne Begründung hierfür fehlen oder der Antrag aus sonstigen Gründen nicht ordnungsgemäß ist, fordert die zuständige Ethik-Kommission den Sponsor auf, die von ihr benannten Formmängel zu beheben. Die Mitteilung enthält den Hinweis, dass der Lauf der Frist nach § 22 Absatz 4 Satz 1 des Medizinproduktegesetzes erst nach Eingang des ordnungsgemäßen Antrags beginnt.</w:t>
      </w:r>
    </w:p>
    <w:p>
      <w:r>
        <w:t xml:space="preserve">(2) Die zuständige Ethik-Kommission führt das Bewertungsverfahren durch. Multizentrische klinische Prüfungen oder Leistungsbewertungsprüfungen, die im Geltungsbereich des Medizinproduktegesetzes von mehr als einer Prüfstelle durchgeführt werden, bewertet die zuständige Ethik-Kommission im Benehmen mit den beteiligten Ethik-Kommissionen. Die beteiligten Ethik-Kommissionen prüfen die Qualifikation der Prüfer und die Geeignetheit der Prüfstellen in ihrem Zuständigkeitsbereich. Die Stellungnahmen müssen der zuständigen Ethik-Kommission innerhalb von 30 Tagen nach Eingang des ordnungsgemäßen Antrags vorliegen. Darüber hinausgehende Anmerkungen einer beteiligten Ethik-Kommission müssen von der zuständigen Ethik-Kommission dokumentiert werden und können in deren abschließende Bewertung aufgenommen werden.</w:t>
      </w:r>
    </w:p>
    <w:p>
      <w:r>
        <w:t xml:space="preserve">(3) Während der Prüfung des Antrags auf zustimmende Bewertung kann die zuständige Ethik-Kommission einmalig zusätzliche Informationen vom Sponsor anfordern. Der Ablauf der Frist nach § 22 Absatz 4 Satz 1 des Medizinproduktegesetzes ist von der Anforderung bis zum Eingang der zusätzlichen Informationen gehemmt.</w:t>
      </w:r>
    </w:p>
    <w:p>
      <w:r>
        <w:t xml:space="preserve">(4) Die zuständige Ethik-Kommission überprüft, ob die ethischen und rechtlichen Anforderungen an eine klinische Prüfung oder Leistungsbewertungsprüfung eingehalten werden und ob die Qualität der Prüfung dem Stand der wissenschaftlichen Erkenntnisse entspricht. Sie vergewissert sich, ob der Schutz der Probanden gewährleistet ist. Dabei prüft sie insbesondere</w:t>
      </w:r>
    </w:p>
    <w:p>
      <w:pPr>
        <w:ind w:left="420"/>
      </w:pPr>
      <w:r>
        <w:t xml:space="preserve">1. die Relevanz der klinischen Prüfung oder Leistungsbewertungsprüfung und ob ihre Planung geeignet ist, die Fragestellung zu beantworten,</w:t>
      </w:r>
    </w:p>
    <w:p>
      <w:pPr>
        <w:ind w:left="420"/>
      </w:pPr>
      <w:r>
        <w:t xml:space="preserve">2. ob der zu erwartende Nutzen die voraussichtlichen Risiken überwiegt und ob diese Risiken für die Probanden vertretbar sind,</w:t>
      </w:r>
    </w:p>
    <w:p>
      <w:pPr>
        <w:ind w:left="420"/>
      </w:pPr>
      <w:r>
        <w:t xml:space="preserve">3. die Vertretbarkeit der Risiken der durch die klinische Prüfung oder Leistungsbewertungsprüfung bedingten zusätzlichen Untersuchungs- und Behandlungsmethoden,</w:t>
      </w:r>
    </w:p>
    <w:p>
      <w:pPr>
        <w:ind w:left="420"/>
      </w:pPr>
      <w:r>
        <w:t xml:space="preserve">4. die Qualifikation der Prüfer sowie die Qualifikationsanforderungen an die Mitarbeiter und Mitarbeiterinnen, die die zu prüfenden Produkte anwenden,</w:t>
      </w:r>
    </w:p>
    <w:p>
      <w:pPr>
        <w:ind w:left="420"/>
      </w:pPr>
      <w:r>
        <w:t xml:space="preserve">5. die Nachweise über Kenntnisse des Prüfers im Zusammenhang mit bestehenden Normen und Prinzipien zu klinischen Prüfungen oder Leistungsbewertungsprüfungen,</w:t>
      </w:r>
    </w:p>
    <w:p>
      <w:pPr>
        <w:ind w:left="420"/>
      </w:pPr>
      <w:r>
        <w:t xml:space="preserve">6. bei klinischen Prüfungen den Prüfplan oder bei Leistungsbewertungsprüfungen den Evaluierungsplan,</w:t>
      </w:r>
    </w:p>
    <w:p>
      <w:pPr>
        <w:ind w:left="420"/>
      </w:pPr>
      <w:r>
        <w:t xml:space="preserve">7. das Handbuch des klinischen Prüfers auf Vollständigkeit und Verständlichkeit,</w:t>
      </w:r>
    </w:p>
    <w:p>
      <w:pPr>
        <w:ind w:left="420"/>
      </w:pPr>
      <w:r>
        <w:t xml:space="preserve">8. die Geeignetheit der Prüfeinrichtungen,</w:t>
      </w:r>
    </w:p>
    <w:p>
      <w:pPr>
        <w:ind w:left="420"/>
      </w:pPr>
      <w:r>
        <w:t xml:space="preserve">9. die Eignung des Verfahrens zur Auswahl der Probanden,</w:t>
      </w:r>
    </w:p>
    <w:p>
      <w:pPr>
        <w:ind w:left="420"/>
      </w:pPr>
      <w:r>
        <w:t xml:space="preserve">10. ob die Probandeninformationen, insbesondere über den Ablauf der klinischen Prüfung oder Leistungsbewertungsprüfung, den zu erwartenden Nutzen, die existierenden und möglichen Risiken des zu prüfenden Medizinproduktes, die mit der Prüfung verbundenen absehbaren Belastungen, die gegebenenfalls vorhandenen Alternativen, die Rechte der Probanden sowie die Verfahren zur Geltendmachung dieser Rechte allgemein verständlich und vollständig sind,</w:t>
      </w:r>
    </w:p>
    <w:p>
      <w:pPr>
        <w:ind w:left="420"/>
      </w:pPr>
      <w:r>
        <w:t xml:space="preserve">11. ob das Einbeziehen von Schwangeren, Stillenden, Minderjährigen oder nicht einwilligungsfähigen Personen gerechtfertigt ist,</w:t>
      </w:r>
    </w:p>
    <w:p>
      <w:pPr>
        <w:ind w:left="420"/>
      </w:pPr>
      <w:r>
        <w:t xml:space="preserve">12. wie die Einwilligung bei Personen eingeholt wird, die nicht in der Lage sind, selbst einzuwilligen,</w:t>
      </w:r>
    </w:p>
    <w:p>
      <w:pPr>
        <w:ind w:left="420"/>
      </w:pPr>
      <w:r>
        <w:t xml:space="preserve">13. ob die notwendige Nachsorge der Probanden gewährleistet ist,</w:t>
      </w:r>
    </w:p>
    <w:p>
      <w:pPr>
        <w:ind w:left="420"/>
      </w:pPr>
      <w:r>
        <w:t xml:space="preserve">14. wie Schäden, die die Probanden im Rahmen der klinischen Prüfung oder Leistungsbewertungsprüfung erleiden, ersetzt werden und ob für den Fall, dass bei der Durchführung der klinischen Prüfung ein Mensch getötet oder der Körper oder die Gesundheit eines Menschen verletzt oder beeinträchtigt wird, eine Versicherung besteht, die auch Leistungen gewährt, wenn kein anderer für den Schaden haftet,</w:t>
      </w:r>
    </w:p>
    <w:p>
      <w:pPr>
        <w:ind w:left="420"/>
      </w:pPr>
      <w:r>
        <w:t xml:space="preserve">15. wie Prüfer und Probanden entschädigt werden sollen sowie</w:t>
      </w:r>
    </w:p>
    <w:p>
      <w:pPr>
        <w:ind w:left="420"/>
      </w:pPr>
      <w:r>
        <w:t xml:space="preserve">16. die vom Sponsor vorgesehenen Kriterien für das Unterbrechen und den Abbruch der klinischen Prüfung oder Leistungsbewertungsprüfung.</w:t>
      </w:r>
    </w:p>
    <w:p>
      <w:r>
        <w:t xml:space="preserve">(5) Die zuständige Ethik-Kommission teilt dem Sponsor ihre Bewertung in Schriftform mit und übermittelt diese zeitgleich der zuständigen Bundesoberbehörde im Wege der Datenübertragung über das zentrale Erfassungssystem des Bundesinstituts für Arzneimittel und Medizinprodukte.</w:t>
      </w:r>
    </w:p>
    <w:p>
      <w:r>
        <w:rPr>
          <w:color w:val="555555"/>
          <w:sz w:val="17"/>
        </w:rPr>
        <w:t xml:space="preserve">Zitiervorschlag: § 5 MPKPV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https://recht.nulegal.eu/gesetze/MPKPV/5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