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MPKPV — Ergänzende Informationen der Genehmigungsbehörden</w:t>
      </w:r>
    </w:p>
    <w:p>
      <w:r>
        <w:rPr>
          <w:color w:val="555555"/>
          <w:sz w:val="18"/>
        </w:rPr>
        <w:t xml:space="preserve">Verordnung über klinische Prüfungen von Medizinprodukten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 zuständigen Bundesoberbehörden veröffentlichen auf ihren Internetseiten weitere Informationen, insbesondere zu den Anträgen, Anzeigen und Verfahren nach § 20 Absatz 1 sowie zu den §§ 22a bis 24 des Medizinproduktegesetzes und zu den §§ 1, 3, 6, 7 und 8 dieser Verordnung.</w:t>
      </w:r>
    </w:p>
    <w:p>
      <w:r>
        <w:rPr>
          <w:color w:val="555555"/>
          <w:sz w:val="17"/>
        </w:rPr>
        <w:t xml:space="preserve">Zitiervorschlag: § 4 MPKPV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https://recht.nulegal.eu/gesetze/MPKPV/4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