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MPKPV — Anwendungsbereich</w:t>
      </w:r>
    </w:p>
    <w:p>
      <w:r>
        <w:rPr>
          <w:color w:val="555555"/>
          <w:sz w:val="18"/>
        </w:rPr>
        <w:t xml:space="preserve">Verordnung über klinische Prüfungen von Medizinprodukten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(1) Die Verordnung gilt für klinische Prüfungen und genehmigungspflichtige Leistungsbewertungsprüfungen gemäß den §§ 20 bis 24 des Medizinproduktegesetzes, deren Ergebnisse verwendet werden sollen zu:</w:t>
      </w:r>
    </w:p>
    <w:p>
      <w:pPr>
        <w:ind w:left="420"/>
      </w:pPr>
      <w:r>
        <w:t xml:space="preserve">1. der Durchführung eines Konformitätsbewertungsverfahrens gemäß der Medizinprodukte-Verordnung,</w:t>
      </w:r>
    </w:p>
    <w:p>
      <w:pPr>
        <w:ind w:left="420"/>
      </w:pPr>
      <w:r>
        <w:t xml:space="preserve">2. der Durchführung eines Konformitätsbewertungsverfahrens mit einem Medizinprodukt, das die CE-Kennzeichnung tragen darf, zur Erlangung einer neuen Zweckbestimmung, die über die der CE-Kennzeichnung zugrunde liegende Zweckbestimmung hinausgeht, oder</w:t>
      </w:r>
    </w:p>
    <w:p>
      <w:pPr>
        <w:ind w:left="420"/>
      </w:pPr>
      <w:r>
        <w:t xml:space="preserve">3. der Gewinnung und Auswertung von Erfahrungen des Herstellers bezüglich der klinischen Sicherheit und Leistung eines Medizinproduktes, das die CE-Kennzeichnung tragen darf, sofern zusätzlich invasive oder andere belastende Untersuchungen durchgeführt werden.</w:t>
      </w:r>
    </w:p>
    <w:p>
      <w:r>
        <w:t xml:space="preserve">(2) Auf Leistungsbewertungsprüfungen nach § 24 Satz 1 Nummer 1 des Medizinproduktegesetzes, bei denen eine nicht chirurgisch-invasive Probenahme aus der Mundhöhle erfolgt, ist diese Verordnung nicht anzuwenden.</w:t>
      </w:r>
    </w:p>
    <w:p>
      <w:r>
        <w:rPr>
          <w:color w:val="555555"/>
          <w:sz w:val="17"/>
        </w:rPr>
        <w:t xml:space="preserve">Zitiervorschlag: § 1 MPKPV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https://recht.nulegal.eu/gesetze/MPKPV/1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