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MPG — Grundlegende Anforderungen</w:t>
      </w:r>
    </w:p>
    <w:p>
      <w:r>
        <w:rPr>
          <w:color w:val="555555"/>
          <w:sz w:val="18"/>
        </w:rPr>
        <w:t xml:space="preserve">Medizinproduktegesetz</w:t>
      </w:r>
    </w:p>
    <w:p>
      <w:r>
        <w:rPr>
          <w:color w:val="555555"/>
          <w:sz w:val="18"/>
        </w:rPr>
        <w:t xml:space="preserve">Außer Kraft: § 7 ist seit 26.05.2021 nicht mehr im MPG enthalten. Angezeigt wird die letzte bekannte Fassung, Stand 21.05.2021.</w:t>
      </w:r>
    </w:p>
    <w:p>
      <w:r>
        <w:t xml:space="preserve">(1) Die Grundlegenden Anforderungen sind für aktive implantierbare Medizinprodukte die Anforderungen des Anhangs 1 der Richtlinie 90/385/EWG des Rates vom 20. Juni 1990 zur Angleichung der Rechtsvorschriften der Mitgliedstaaten über aktive implantierbare medizinische Geräte (ABl. L 189 vom 20.7.1990, S. 17), die zuletzt durch Artikel 1 der Richtlinie 2007/47/EG (ABl. L 247 vom 21.9.2007, S. 21) geändert worden ist, für In-vitro-Diagnostika die Anforderungen des Anhangs I der Richtlinie 98/79/EG und für die sonstigen Medizinprodukte die Anforderungen des Anhangs I der Richtlinie 93/42/EWG des Rates vom 14. Juni 1993 über Medizinprodukte (ABl. L 169 vom 12.7.1993, S. 1), die zuletzt durch Artikel 2 der Richtlinie 2007/47/EG (ABl. L 247 vom 21.9.2007, S. 21) geändert worden ist, in den jeweils geltenden Fassungen.</w:t>
      </w:r>
    </w:p>
    <w:p>
      <w:r>
        <w:t xml:space="preserve">(2) Besteht ein einschlägiges Risiko, so müssen Medizinprodukte, die auch Maschinen im Sinne des Artikels 2 Buchstabe a der Richtlinie 2006/42/EG des Europäischen Parlaments und des Rates vom 17. Mai 2006 über Maschinen (ABl. L 157 vom 9.6.2006, S. 24) sind, auch den grundlegenden Gesundheits- und Sicherheitsanforderungen gemäß Anhang I der genannten Richtlinie entsprechen, sofern diese grundlegenden Gesundheits- und Sicherheitsanforderungen spezifischer sind als die Grundlegenden Anforderungen gemäß Anhang I der Richtlinie 93/42/EWG oder gemäß Anhang 1 der Richtlinie 90/385/EWG.</w:t>
      </w:r>
    </w:p>
    <w:p>
      <w:r>
        <w:t xml:space="preserve">(3) Bei Produkten, die vom Hersteller nicht nur als Medizinprodukt, sondern auch zur Verwendung entsprechend den Vorschriften über persönliche Schutzausrüstungen der Richtlinie 89/686/EWG bestimmt sind, müssen auch die einschlägigen grundlegenden Gesundheits- und Sicherheitsanforderungen dieser Richtlinie erfüllt werden.</w:t>
      </w:r>
    </w:p>
    <w:p>
      <w:r>
        <w:rPr>
          <w:color w:val="555555"/>
          <w:sz w:val="17"/>
        </w:rPr>
        <w:t xml:space="preserve">Zitiervorschlag: § 7 MPG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