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MPG — Voraussetzungen für das Inverkehrbringen und die Inbetriebnahme</w:t>
      </w:r>
    </w:p>
    <w:p>
      <w:r>
        <w:rPr>
          <w:color w:val="555555"/>
          <w:sz w:val="18"/>
        </w:rPr>
        <w:t xml:space="preserve">Medizinproduktegesetz</w:t>
      </w:r>
    </w:p>
    <w:p>
      <w:r>
        <w:rPr>
          <w:color w:val="555555"/>
          <w:sz w:val="18"/>
        </w:rPr>
        <w:t xml:space="preserve">Außer Kraft: § 6 ist seit 26.05.2021 nicht mehr im MPG enthalten. Angezeigt wird die letzte bekannte Fassung, Stand 13.06.2020.</w:t>
      </w:r>
    </w:p>
    <w:p>
      <w:r>
        <w:t xml:space="preserve">(1) Medizinprodukte, mit Ausnahme von Sonderanfertigungen, Medizinprodukten aus Eigenherstellung, Medizinprodukten mit Sonderzulassung nach § 11 Absatz 1 oder nach § 7 Absatz 1 oder § 90 Absatz 3 des Medizinprodukterecht-Durchführungsgesetzes sowie Medizinprodukten, die zur klinischen Prüfung oder In-vitro-Diagnostika, die für Leistungsbewertungszwecke bestimmt sind, dürfen in Deutschland nur in den Verkehr gebracht oder in Betrieb genommen werden, wenn sie mit einer CE-Kennzeichnung nach Maßgabe des Absatzes 2 Satz 1 und des Absatzes 3 Satz 1 versehen sind. Über die Beschaffenheitsanforderungen hinausgehende Bestimmungen, die das Betreiben oder das Anwenden von Medizinprodukten betreffen, bleiben unberührt.</w:t>
      </w:r>
    </w:p>
    <w:p>
      <w:r>
        <w:t xml:space="preserve">(2) Mit der CE-Kennzeichnung dürfen Medizinprodukte nur versehen werden, wenn die Grundlegenden Anforderungen nach § 7, die auf sie unter Berücksichtigung ihrer Zweckbestimmung anwendbar sind, erfüllt sind und ein für das jeweilige Medizinprodukt vorgeschriebenes Konformitätsbewertungsverfahren nach Maßgabe der Rechtsverordnung nach § 37 Abs. 1 durchgeführt worden ist. Zwischenprodukte, die vom Hersteller spezifisch als Bestandteil für Sonderanfertigungen bestimmt sind, dürfen mit der CE-Kennzeichnung versehen werden, wenn die Voraussetzungen des Satzes 1 erfüllt sind. Hat der Hersteller seinen Sitz nicht im Europäischen Wirtschaftsraum, so darf das Medizinprodukt zusätzlich zu Satz 1 nur mit der CE-Kennzeichnung versehen werden, wenn der Hersteller einen einzigen für das jeweilige Medizinprodukt verantwortlichen Bevollmächtigten im Europäischen Wirtschaftsraum benannt hat.</w:t>
      </w:r>
    </w:p>
    <w:p>
      <w:r>
        <w:t xml:space="preserve">(3) Gelten für das Medizinprodukt zusätzlich andere Rechtsvorschriften als die dieses Gesetzes, deren Einhaltung durch die CE-Kennzeichnung bestätigt wird, so darf der Hersteller das Medizinprodukt nur dann mit der CE-Kennzeichnung versehen, wenn auch diese anderen Rechtsvorschriften erfüllt sind. Steht dem Hersteller auf Grund einer oder mehrerer weiterer Rechtsvorschriften während einer Übergangszeit die Wahl der anzuwendenden Regelungen frei, so gibt er mit der CE-Kennzeichnung an, dass dieses Medizinprodukt nur den angewandten Rechtsvorschriften entspricht. In diesem Fall hat der Hersteller in den dem Medizinprodukt beiliegenden Unterlagen, Hinweisen oder Anleitungen die Nummern der mit den angewandten Rechtsvorschriften umgesetzten Richtlinien anzugeben, unter denen sie im Amtsblatt der Europäischen Union veröffentlicht sind. Bei sterilen Medizinprodukten müssen diese Unterlagen, Hinweise oder Anleitungen ohne Zerstörung der Verpackung, durch welche die Sterilität des Medizinproduktes gewährleistet wird, zugänglich sein.</w:t>
      </w:r>
    </w:p>
    <w:p>
      <w:r>
        <w:t xml:space="preserve">(4) Die Durchführung von Konformitätsbewertungsverfahren lässt die zivil- und strafrechtliche Verantwortlichkeit des Verantwortlichen nach § 5 unberührt.</w:t>
      </w:r>
    </w:p>
    <w:p>
      <w:r>
        <w:rPr>
          <w:color w:val="555555"/>
          <w:sz w:val="17"/>
        </w:rPr>
        <w:t xml:space="preserve">Zitiervorschlag: § 6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