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MPG — Strafvorschriften</w:t>
      </w:r>
    </w:p>
    <w:p>
      <w:r>
        <w:rPr>
          <w:color w:val="555555"/>
          <w:sz w:val="18"/>
        </w:rPr>
        <w:t xml:space="preserve">Medizinproduktegesetz</w:t>
      </w:r>
    </w:p>
    <w:p>
      <w:r>
        <w:rPr>
          <w:color w:val="555555"/>
          <w:sz w:val="18"/>
        </w:rPr>
        <w:t xml:space="preserve">Außer Kraft: § 40 ist seit 26.05.2021 nicht mehr im MPG enthalten. Angezeigt wird die letzte bekannte Fassung, Stand 21.05.2021.</w:t>
      </w:r>
    </w:p>
    <w:p>
      <w:r>
        <w:t xml:space="preserve">(1) Mit Freiheitsstrafe bis zu drei Jahren oder mit Geldstrafe wird bestraft, wer</w:t>
      </w:r>
    </w:p>
    <w:p>
      <w:pPr>
        <w:ind w:left="420"/>
      </w:pPr>
      <w:r>
        <w:t xml:space="preserve">1. entgegen § 4 Abs. 1 Nr. 1 ein Medizinprodukt in den Verkehr bringt, errichtet, in Betrieb nimmt, betreibt oder anwendet,</w:t>
      </w:r>
    </w:p>
    <w:p>
      <w:pPr>
        <w:ind w:left="420"/>
      </w:pPr>
      <w:r>
        <w:t xml:space="preserve">2. entgegen § 6 Abs. 1 Satz 1 ein Medizinprodukt, das den Vorschriften des Strahlenschutzgesetzes und der auf dessen Grundlage erlassenen Rechtsverordnungen unterliegt oder bei dessen Herstellung ionisierende Strahlen verwendet wurden, in den Verkehr bringt oder in Betrieb nimmt,</w:t>
      </w:r>
    </w:p>
    <w:p>
      <w:pPr>
        <w:ind w:left="420"/>
      </w:pPr>
      <w:r>
        <w:t xml:space="preserve">3. entgegen § 6 Abs. 2 Satz 1 in Verbindung mit einer Rechtsverordnung nach § 37 Abs. 1 ein Medizinprodukt, das den Vorschriften des Strahlenschutzgesetzes und der auf dessen Grundlage erlassenen Rechtsverordnungen unterliegt oder bei dessen Herstellung ionisierende Strahlen verwendet wurden, mit der CE-Kennzeichnung versieht oder</w:t>
      </w:r>
    </w:p>
    <w:p>
      <w:pPr>
        <w:ind w:left="420"/>
      </w:pPr>
      <w:r>
        <w:t xml:space="preserve">4. entgegen § 14 Satz 2 ein Medizinprodukt betreibt oder anwendet.</w:t>
      </w:r>
    </w:p>
    <w:p>
      <w:r>
        <w:t xml:space="preserve">(2) Der Versuch ist strafbar.</w:t>
      </w:r>
    </w:p>
    <w:p>
      <w:r>
        <w:t xml:space="preserve">(3) In besonders schweren Fällen ist die Strafe Freiheitsstrafe von einem Jahr bis zu fünf Jahren. Ein besonders schwerer Fall liegt in der Regel vor, wenn der Täter durch eine der in Absatz 1 bezeichneten Handlungen</w:t>
      </w:r>
    </w:p>
    <w:p>
      <w:pPr>
        <w:ind w:left="420"/>
      </w:pPr>
      <w:r>
        <w:t xml:space="preserve">1. die Gesundheit einer großen Zahl von Menschen gefährdet,</w:t>
      </w:r>
    </w:p>
    <w:p>
      <w:pPr>
        <w:ind w:left="420"/>
      </w:pPr>
      <w:r>
        <w:t xml:space="preserve">2. einen anderen in die Gefahr des Todes oder einer schweren Schädigung an Körper oder Gesundheit bringt oder</w:t>
      </w:r>
    </w:p>
    <w:p>
      <w:pPr>
        <w:ind w:left="420"/>
      </w:pPr>
      <w:r>
        <w:t xml:space="preserve">3. aus grobem Eigennutz für sich oder einen anderen Vermögensvorteile großen Ausmaßes erlangt.</w:t>
      </w:r>
    </w:p>
    <w:p>
      <w:r>
        <w:t xml:space="preserve">(4) Handelt der Täter in den Fällen des Absatzes 1 fahrlässig, so ist die Strafe Freiheitsstrafe bis zu einem Jahr oder Geldstrafe.</w:t>
      </w:r>
    </w:p>
    <w:p>
      <w:r>
        <w:rPr>
          <w:color w:val="555555"/>
          <w:sz w:val="17"/>
        </w:rPr>
        <w:t xml:space="preserve">Zitiervorschlag: § 40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