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MPG — Verbote zum Schutz von Patienten, Anwendern und Dritten</w:t>
      </w:r>
    </w:p>
    <w:p>
      <w:r>
        <w:rPr>
          <w:color w:val="555555"/>
          <w:sz w:val="18"/>
        </w:rPr>
        <w:t xml:space="preserve">Medizinproduktegesetz</w:t>
      </w:r>
    </w:p>
    <w:p>
      <w:r>
        <w:rPr>
          <w:color w:val="555555"/>
          <w:sz w:val="18"/>
        </w:rPr>
        <w:t xml:space="preserve">Außer Kraft: § 4 ist seit 26.05.2021 nicht mehr im MPG enthalten. Angezeigt wird die letzte bekannte Fassung, Stand 21.05.2021.</w:t>
      </w:r>
    </w:p>
    <w:p>
      <w:r>
        <w:t xml:space="preserve">(1) Es ist verboten, Medizinprodukte in den Verkehr zu bringen, zu errichten, in Betrieb zu nehmen, zu betreiben oder anzuwenden, wenn</w:t>
      </w:r>
    </w:p>
    <w:p>
      <w:pPr>
        <w:ind w:left="420"/>
      </w:pPr>
      <w:r>
        <w:t xml:space="preserve">1. der begründete Verdacht besteht, dass sie die Sicherheit und die Gesundheit der Patienten, der Anwender oder Dritter bei sachgemäßer Anwendung, Instandhaltung und ihrer Zweckbestimmung entsprechender Verwendung über ein nach den Erkenntnissen der medizinischen Wissenschaften vertretbares Maß hinausgehend unmittelbar oder mittelbar gefährden oder</w:t>
      </w:r>
    </w:p>
    <w:p>
      <w:pPr>
        <w:ind w:left="420"/>
      </w:pPr>
      <w:r>
        <w:t xml:space="preserve">2. das Datum abgelaufen ist, bis zu dem eine gefahrlose Anwendung nachweislich möglich ist.</w:t>
      </w:r>
    </w:p>
    <w:p>
      <w:r>
        <w:t xml:space="preserve">(2) Es ist ferner verboten, Medizinprodukte in den Verkehr zu bringen, wenn sie mit irreführender Bezeichnung, Angabe oder Aufmachung versehen sind. Eine Irreführung liegt insbesondere dann vor, wenn</w:t>
      </w:r>
    </w:p>
    <w:p>
      <w:pPr>
        <w:ind w:left="420"/>
      </w:pPr>
      <w:r>
        <w:t xml:space="preserve">1. Medizinprodukten eine Leistung beigelegt wird, die sie nicht haben,</w:t>
      </w:r>
    </w:p>
    <w:p>
      <w:pPr>
        <w:ind w:left="420"/>
      </w:pPr>
      <w:r>
        <w:t xml:space="preserve">2. fälschlich der Eindruck erweckt wird, dass ein Erfolg mit Sicherheit erwartet werden kann oder dass nach bestimmungsgemäßem oder längerem Gebrauch keine schädlichen Wirkungen eintreten,</w:t>
      </w:r>
    </w:p>
    <w:p>
      <w:pPr>
        <w:ind w:left="420"/>
      </w:pPr>
      <w:r>
        <w:t xml:space="preserve">3. zur Täuschung über die in den Grundlegenden Anforderungen nach § 7 festgelegten Produkteigenschaften geeignete Bezeichnungen, Angaben oder Aufmachungen verwendet werden, die für die Bewertung des Medizinproduktes mitbestimmend sind.</w:t>
      </w:r>
    </w:p>
    <w:p>
      <w:r>
        <w:rPr>
          <w:color w:val="555555"/>
          <w:sz w:val="17"/>
        </w:rPr>
        <w:t xml:space="preserve">Zitiervorschlag: § 4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