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MPG — Verordnungsermächtigungen</w:t>
      </w:r>
    </w:p>
    <w:p>
      <w:r>
        <w:rPr>
          <w:color w:val="555555"/>
          <w:sz w:val="18"/>
        </w:rPr>
        <w:t xml:space="preserve">Medizinproduktegesetz</w:t>
      </w:r>
    </w:p>
    <w:p>
      <w:r>
        <w:rPr>
          <w:color w:val="555555"/>
          <w:sz w:val="18"/>
        </w:rPr>
        <w:t xml:space="preserve">Außer Kraft: § 37 ist seit 26.05.2021 nicht mehr im MPG enthalten. Angezeigt wird die letzte bekannte Fassung, Stand 21.05.2021.</w:t>
      </w:r>
    </w:p>
    <w:p>
      <w:r>
        <w:t xml:space="preserve">(1) Das Bundesministerium für Gesundheit wird ermächtigt, zur Umsetzung von Rechtsakten der Europäischen Gemeinschaft oder der Europäischen Union durch Rechtsverordnung die Voraussetzungen für die Erteilung der Konformitätsbescheinigungen, die Durchführung der Konformitätsbewertungsverfahren und ihre Zuordnung zu Klassen von Medizinprodukten sowie Sonderverfahren für Systeme und Behandlungseinheiten zu regeln.</w:t>
      </w:r>
    </w:p>
    <w:p>
      <w:r>
        <w:t xml:space="preserve">(2) Das Bundesministerium für Gesundheit wird ermächtigt, durch Rechtsverordnung für Medizinprodukte, die</w:t>
      </w:r>
    </w:p>
    <w:p>
      <w:pPr>
        <w:ind w:left="420"/>
      </w:pPr>
      <w:r>
        <w:t xml:space="preserve">1. die Gesundheit des Menschen auch bei bestimmungsgemäßer Anwendung unmittelbar oder mittelbar gefährden können, wenn sie ohne ärztliche oder zahnärztliche Überwachung angewendet werden, oder</w:t>
      </w:r>
    </w:p>
    <w:p>
      <w:pPr>
        <w:ind w:left="420"/>
      </w:pPr>
      <w:r>
        <w:t xml:space="preserve">2. häufig in erheblichem Umfang nicht bestimmungsgemäß angewendet werden, wenn dadurch die Gesundheit von Menschen unmittelbar oder mittelbar gefährdet wird,</w:t>
      </w:r>
    </w:p>
    <w:p>
      <w:r>
        <w:t xml:space="preserve">die Verschreibungspflicht vorzuschreiben. In der Rechtsverordnung nach Satz 1 können weiterhin Abgabebeschränkungen geregelt werden.</w:t>
      </w:r>
    </w:p>
    <w:p>
      <w:r>
        <w:t xml:space="preserve">(2a) Das Bundesministerium für Gesundheit wird ermächtigt, durch Rechtsverordnung Regelungen zur ordnungsgemäßen Durchführung der klinischen Prüfung und der genehmigungspflichtigen Leistungsbewertungsprüfung sowie der Erzielung dem wissenschaftlichen Erkenntnisstand entsprechender Unterlagen zu treffen. In der Rechtsverordnung können insbesondere Regelungen getroffen werden über</w:t>
      </w:r>
    </w:p>
    <w:p>
      <w:pPr>
        <w:ind w:left="420"/>
      </w:pPr>
      <w:r>
        <w:t xml:space="preserve">1. Aufgaben und Verantwortungsbereiche des Sponsors, der Prüfer oder anderer Personen, die die klinische Prüfung durchführen oder kontrollieren, einschließlich von Anzeige-, Dokumentations- und Berichtspflichten insbesondere über schwerwiegende unerwünschte Ereignisse, die während der Prüfung auftreten und die Sicherheit der Studienteilnehmer oder die Durchführung der Studie beeinträchtigen könnten,</w:t>
      </w:r>
    </w:p>
    <w:p>
      <w:pPr>
        <w:ind w:left="420"/>
      </w:pPr>
      <w:r>
        <w:t xml:space="preserve">2. Aufgaben und Verfahren bei Ethik-Kommissionen einschließlich der einzureichenden Unterlagen, auch mit Angaben zur angemessenen Beteiligung von Frauen und Männern als Prüfungsteilnehmerinnen und Prüfungsteilnehmer, der Unterbrechung, Verlängerung oder Verkürzung der Bearbeitungsfrist und der besonderen Anforderungen an die Ethik-Kommissionen bei klinischen Prüfungen nach § 20 Absatz 4 und 5 sowie nach § 21,</w:t>
      </w:r>
    </w:p>
    <w:p>
      <w:pPr>
        <w:ind w:left="420"/>
      </w:pPr>
      <w:r>
        <w:t xml:space="preserve">3. die Aufgaben der zuständigen Behörden und das behördliche Genehmigungsverfahren einschließlich der einzureichenden Unterlagen, auch mit Angaben zur angemessenen Beteiligung von Frauen und Männern als Prüfungsteilnehmerinnen und Prüfungsteilnehmer und der Unterbrechung oder Verlängerung oder Verkürzung der Bearbeitungsfrist, das Verfahren zur Überprüfung von Unterlagen in Betrieben und Einrichtungen sowie die Voraussetzungen und das Verfahren für Rücknahme, Widerruf und Ruhen der Genehmigung oder Untersagung einer klinischen Prüfung,</w:t>
      </w:r>
    </w:p>
    <w:p>
      <w:pPr>
        <w:ind w:left="420"/>
      </w:pPr>
      <w:r>
        <w:t xml:space="preserve">4. die Anforderungen an die Prüfeinrichtung und an das Führen und Aufbewahren von Nachweisen,</w:t>
      </w:r>
    </w:p>
    <w:p>
      <w:pPr>
        <w:ind w:left="420"/>
      </w:pPr>
      <w:r>
        <w:t xml:space="preserve">5. die Übermittlung von Namen und Sitz des Sponsors und des verantwortlichen Prüfers und nicht personenbezogener Angaben zur klinischen Prüfung von der zuständigen Behörde an eine europäische Datenbank,</w:t>
      </w:r>
    </w:p>
    <w:p>
      <w:pPr>
        <w:ind w:left="420"/>
      </w:pPr>
      <w:r>
        <w:t xml:space="preserve">6. die Art und Weise der Weiterleitung von Unterlagen und Ausfertigung der Entscheidungen an die zuständigen Behörden und die für die Prüfer zuständigen Ethik-Kommissionen bestimmt werden,</w:t>
      </w:r>
    </w:p>
    <w:p>
      <w:pPr>
        <w:ind w:left="420"/>
      </w:pPr>
      <w:r>
        <w:t xml:space="preserve">7. Sonderregelungen für Medizinprodukte mit geringem Sicherheitsrisiko.</w:t>
      </w:r>
    </w:p>
    <w:p>
      <w:r>
        <w:t xml:space="preserve">(3) Das Bundesministerium für Gesundheit wird ermächtigt, durch Rechtsverordnung Vertriebswege für Medizinprodukte vorzuschreiben, soweit es geboten ist, die erforderliche Qualität des Medizinproduktes zu erhalten oder die bei der Abgabe oder Anwendung von Medizinprodukten notwendigen Erfordernisse für die Sicherheit des Patienten, Anwenders oder Dritten zu erfüllen.</w:t>
      </w:r>
    </w:p>
    <w:p>
      <w:r>
        <w:t xml:space="preserve">(4) Das Bundesministerium für Gesundheit wird ermächtigt, durch Rechtsverordnung Regelungen für Betriebe oder Einrichtungen zu erlassen (Betriebsverordnungen), die Medizinprodukte in Deutschland in den Verkehr bringen oder lagern, soweit es geboten ist, um einen ordnungsgemäßen Betrieb und die erforderliche Qualität, Sicherheit und Leistung der Medizinprodukte sicherzustellen sowie die Sicherheit und Gesundheit der Patienten, der Anwender und Dritter nicht zu gefährden. In der Rechtsverordnung können insbesondere Regelungen getroffen werden über die Lagerung, den Erwerb, den Vertrieb, die Information und Beratung sowie die Einweisung in den Betrieb einschließlich Funktionsprüfung nach Installation und die Anwendung der Medizinprodukte. Die Regelungen können auch für Personen getroffen werden, die die genannten Tätigkeiten berufsmäßig ausüben.</w:t>
      </w:r>
    </w:p>
    <w:p>
      <w:r>
        <w:t xml:space="preserve">(5) Das Bundesministerium für Gesundheit wird ermächtigt, durch Rechtsverordnung</w:t>
      </w:r>
    </w:p>
    <w:p>
      <w:pPr>
        <w:ind w:left="420"/>
      </w:pPr>
      <w:r>
        <w:t xml:space="preserve">1. Anforderungen an das Errichten, Betreiben, Anwenden und Instandhalten von Medizinprodukten festzulegen, Regelungen zu treffen über die Einweisung der Betreiber und Anwender, die sicherheitstechnischen Kontrollen, Funktionsprüfungen, Meldepflichten und Einzelheiten der Meldepflichten von Vorkommnissen und Risiken, das Bestandsverzeichnis und das Medizinproduktebuch sowie weitere Anforderungen festzulegen, soweit dies für das sichere Betreiben und die sichere Anwendung oder die ordnungsgemäße Instandhaltung notwendig ist,</w:t>
      </w:r>
    </w:p>
    <w:p>
      <w:pPr>
        <w:ind w:left="420"/>
      </w:pPr>
      <w:r>
        <w:t xml:space="preserve">1a. Anforderungen an die sichere Aufbereitung von bestimmungsgemäß keimarm oder steril zur Anwendung kommenden Medizinprodukten festzulegen und Regelungen zu treffen über</w:t>
      </w:r>
    </w:p>
    <w:p>
      <w:pPr>
        <w:ind w:left="780"/>
      </w:pPr>
      <w:r>
        <w:t xml:space="preserve">a) zusätzliche Anforderungen an Aufbereiter, die Medizinprodukte mit besonders hohen Anforderungen an die Aufbereitung aufbereiten,</w:t>
      </w:r>
    </w:p>
    <w:p>
      <w:pPr>
        <w:ind w:left="780"/>
      </w:pPr>
      <w:r>
        <w:t xml:space="preserve">b) die Zertifizierung von Aufbereitern nach Buchstabe a,</w:t>
      </w:r>
    </w:p>
    <w:p>
      <w:pPr>
        <w:ind w:left="780"/>
      </w:pPr>
      <w:r>
        <w:t xml:space="preserve">c) die Anforderungen an die von der zuständigen Behörde anerkannten Konformitätsbewertungsstellen, die Zertifizierungen nach Buchstabe b vornehmen,</w:t>
      </w:r>
    </w:p>
    <w:p>
      <w:pPr>
        <w:ind w:left="780"/>
      </w:pPr>
      <w:r>
        <w:t xml:space="preserve">a) Anforderungen an das Qualitätssicherungssystem beim Betreiben und Anwenden von In-vitro-Diagnostika festzulegen,</w:t>
      </w:r>
    </w:p>
    <w:p>
      <w:pPr>
        <w:ind w:left="780"/>
      </w:pPr>
      <w:r>
        <w:t xml:space="preserve">b) Regelungen zu treffen über</w:t>
      </w:r>
    </w:p>
    <w:p>
      <w:pPr>
        <w:ind w:left="1140"/>
      </w:pPr>
      <w:r>
        <w:t xml:space="preserve">aa) die Feststellung und die Anwendung von Normen zur Qualitätssicherung, die Verfahren zur Erstellung von Richtlinien und Empfehlungen, die Anwendungsbereiche, Inhalte und Zuständigkeiten, die Beteiligung der betroffenen Kreise sowie</w:t>
      </w:r>
    </w:p>
    <w:p>
      <w:pPr>
        <w:ind w:left="1140"/>
      </w:pPr>
      <w:r>
        <w:t xml:space="preserve">bb) Umfang, Häufigkeit und Verfahren der Kontrolle sowie die Anforderungen an die für die Kontrolle zuständigen Stellen und das Verfahren ihrer Bestellung und</w:t>
      </w:r>
    </w:p>
    <w:p>
      <w:pPr>
        <w:ind w:left="780"/>
      </w:pPr>
      <w:r>
        <w:t xml:space="preserve">c) festzulegen, dass die Normen, Richtlinien und Empfehlungen oder deren Fundstellen vom Bundesministerium für Gesundheit im Bundesanzeiger bekannt gemacht werden,</w:t>
      </w:r>
    </w:p>
    <w:p>
      <w:pPr>
        <w:ind w:left="420"/>
      </w:pPr>
      <w:r>
        <w:t xml:space="preserve">3. zur Gewährleistung der Messsicherheit von Medizinprodukten mit Messfunktion diejenigen Medizinprodukte mit Messfunktion zu bestimmen, die messtechnischen Kontrollen unterliegen, und zu bestimmen, dass der Betreiber, eine geeignete Stelle oder die zuständige Behörde messtechnische Kontrollen durchzuführen hat sowie Vorschriften zu erlassen über den Umfang, die Häufigkeit und das Verfahren von messtechnischen Kontrollen, die Voraussetzungen, den Umfang und das Verfahren der Anerkennung und Überwachung mit der Durchführung messtechnischer Kontrollen betrauter Stellen sowie die Mitwirkungspflichten des Betreibers eines Medizinproduktes mit Messfunktion bei messtechnischen Kontrollen.</w:t>
      </w:r>
    </w:p>
    <w:p>
      <w:r>
        <w:t xml:space="preserve">(6) Das Bundesministerium für Gesundheit wird ermächtigt, durch Rechtsverordnung ein bestimmtes Medizinprodukt oder eine Gruppe von Medizinprodukten aus Gründen des Gesundheitsschutzes und der Sicherheit oder im Interesse der öffentlichen Gesundheit gemäß Artikel 36 des Vertrages über die Arbeitsweise der Europäischen Union zu verbieten oder deren Bereitstellung zu beschränken oder besonderen Bedingungen zu unterwerfen.</w:t>
      </w:r>
    </w:p>
    <w:p>
      <w:r>
        <w:t xml:space="preserve">(7) Das Bundesministerium für Gesundheit wird ermächtigt, durch Rechtsverordnung zur Durchführung der Aufgaben im Zusammenhang mit dem Medizinprodukte-Beobachtungs- und -Meldesystem nach § 29 einen Sicherheitsplan für Medizinprodukte zu erstellen. In diesem werden insbesondere die Aufgaben und die Zusammenarbeit der beteiligten Behörden und Stellen sowie die Einschaltung der Hersteller und Bevollmächtigten, Einführer, Inverkehrbringer und sonstiger Händler, der Anwender und Betreiber, der Europäischen Kommission sowie der anderen Vertragsstaaten des Abkommens über den Europäischen Wirtschaftsraum näher geregelt und die jeweils zu ergreifenden Maßnahmen bestimmt. In dem Sicherheitsplan können ferner Einzelheiten zur Risikobewertung und deren Durchführung, Mitwirkungspflichten der Verantwortlichen nach § 5 Satz 1 und 2, sonstiger Händler, der Anwender, Betreiber und Instandhalter, Einzelheiten des Meldeverfahrens und deren Bekanntmachung, Melde-, Berichts-, Aufzeichnungs- und Aufbewahrungspflichten, Prüfungen und Produktionsüberwachungen, Einzelheiten der Durchführung von Maßnahmen zur Risikoabwehr und deren Überwachung sowie Informationspflichten, -mittel und -wege geregelt werden. Ferner können in dem Sicherheitsplan Regelungen zu personenbezogenen Daten getroffen werden, soweit diese im Rahmen der Risikoabwehr verarbeitet werden.</w:t>
      </w:r>
    </w:p>
    <w:p>
      <w:r>
        <w:t xml:space="preserve">(8) Das Bundesministerium für Gesundheit wird ermächtigt, zur Gewährleistung einer ordnungsgemäßen Verarbeitung von Daten nach § 33 Abs. 1 und 2 durch Rechtsverordnung Näheres zu regeln, auch hinsichtlich der Art, des Umfangs und der Anforderungen an Daten. In dieser Rechtsverordnung können auch die Gebühren für Handlungen dieses Institutes festgelegt werden.</w:t>
      </w:r>
    </w:p>
    <w:p>
      <w:r>
        <w:t xml:space="preserve">(9) Das Bundesministerium für Gesundheit wird ermächtigt, für den Bereich der Bundesverwaltung durch Rechtsverordnung die gebührenpflichtigen Tatbestände nach § 35 zu bestimmen und dabei feste Sätze oder Rahmensätze vorzusehen. Die Gebührensätze sind so zu bemessen, dass der mit den individuell zurechenbaren öffentlichen Leistungen verbundene Personal- und Sachaufwand abgedeckt ist. In der Rechtsverordnung kann bestimmt werden, dass eine Gebühr auch für eine Leistung erhoben werden kann, die nicht zu Ende geführt worden ist, wenn die Gründe hierfür von demjenigen zu vertreten sind, der die Leistung veranlasst hat.</w:t>
      </w:r>
    </w:p>
    <w:p>
      <w:r>
        <w:t xml:space="preserve">(10) Das Bundesministerium für Gesundheit wird ermächtigt, durch Rechtsverordnung Regelungen zur Erfüllung von Verpflichtungen aus zwischenstaatlichen Vereinbarungen oder zur Durchführung von Rechtsakten des Rates oder der Europäischen Kommission, die Sachbereiche dieses Gesetzes betreffen, insbesondere sicherheitstechnische und medizinische Anforderungen, die Herstellung und sonstige Voraussetzungen des Inverkehrbringens, des Betreibens, des Anwendens, des Ausstellens, insbesondere Prüfungen, Produktionsüberwachung, Bescheinigungen, Kennzeichnung, Aufbewahrungs- und Mitteilungspflichten, behördliche Maßnahmen sowie Anforderungen an die Benennung und Überwachung von Benannten Stellen, zu treffen.</w:t>
      </w:r>
    </w:p>
    <w:p>
      <w:r>
        <w:t xml:space="preserve">(11) Die Rechtsverordnungen nach den Absätzen 1 bis 10 ergehen mit Zustimmung des Bundesrates und im Einvernehmen mit dem Bundesministerium für Wirtschaft und Energie. Sie ergehen im Einvernehmen mit dem Bundesministerium für Umwelt, Naturschutz und nukleare Sicherheit, soweit der Strahlenschutz betroffen ist oder es sich um Medizinprodukte handelt, bei deren Herstellung radioaktive Stoffe oder ionisierende Strahlen verwendet werden, und im Einvernehmen mit dem Bundesministerium für Arbeit und Soziales, soweit der Arbeitsschutz betroffen ist und im Einvernehmen mit dem Bundesministerium des Innern, für Bau und Heimat, soweit der Datenschutz betroffen ist.</w:t>
      </w:r>
    </w:p>
    <w:p>
      <w:r>
        <w:t xml:space="preserve">(12) Die Rechtsverordnungen nach den Absätzen 6 und 10 bedürfen nicht der Zustimmung des Bundesrates bei Gefahr im Verzug oder wenn ihr unverzügliches Inkrafttreten zur Durchführung von Rechtsakten der Europäischen Gemeinschaft oder der Europäischen Union erforderlich ist. Die Rechtsverordnungen nach den Absätzen 1 bis 3 können ohne Zustimmung des Bundesrates erlassen werden, wenn unvorhergesehene gesundheitliche Gefährdungen dies erfordern. Soweit die Rechtsverordnung nach Absatz 9 Gebühren und Auslagen von Bundesbehörden betrifft, bedarf sie nicht der Zustimmung des Bundesrates. Die Rechtsverordnungen nach den Sätzen 1 und 2 bedürfen nicht des Einvernehmens mit den jeweils beteiligten Bundesministerien. Sie treten spätestens sechs Monate nach ihrem Inkrafttreten außer Kraft. Ihre Geltungsdauer kann nur mit Zustimmung des Bundesrates verlängert werden. Soweit der Strahlenschutz betroffen ist, bleibt Absatz 11 unberührt.</w:t>
      </w:r>
    </w:p>
    <w:p>
      <w:r>
        <w:rPr>
          <w:color w:val="555555"/>
          <w:sz w:val="17"/>
        </w:rPr>
        <w:t xml:space="preserve">Zitiervorschlag: § 37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