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MPG — Medizinprodukte-Beobachtungs- und -Meldesystem</w:t>
      </w:r>
    </w:p>
    <w:p>
      <w:r>
        <w:rPr>
          <w:color w:val="555555"/>
          <w:sz w:val="18"/>
        </w:rPr>
        <w:t xml:space="preserve">Medizinproduktegesetz</w:t>
      </w:r>
    </w:p>
    <w:p>
      <w:r>
        <w:rPr>
          <w:color w:val="555555"/>
          <w:sz w:val="18"/>
        </w:rPr>
        <w:t xml:space="preserve">Außer Kraft: § 29 ist seit 26.05.2021 nicht mehr im MPG enthalten. Angezeigt wird die letzte bekannte Fassung, Stand 31.07.2020.</w:t>
      </w:r>
    </w:p>
    <w:p>
      <w:r>
        <w:t xml:space="preserve">(1) Die zuständige Bundesoberbehörde hat, soweit nicht eine oberste Bundesbehörde im Vollzug des Atomgesetzes oder der auf Grund dieses Gesetzes erlassenen Rechtsverordnungen zuständig ist, zur Verhütung einer Gefährdung der Gesundheit oder der Sicherheit von Patienten, Anwendern oder Dritten die bei der Anwendung oder Verwendung von Medizinprodukten auftretenden Risiken, insbesondere Nebenwirkungen, wechselseitige Beeinflussung mit anderen Stoffen oder Produkten, Gegenanzeigen, Verfälschungen, Funktionsfehler, Fehlfunktionen und technische Mängel zentral zu erfassen, auszuwerten und zu bewerten. Sie hat die zu ergreifenden Maßnahmen zu koordinieren, insbesondere, soweit sie alle schwerwiegenden unerwünschten Ereignisse während klinischer Prüfungen oder Leistungsbewertungsprüfungen von In-vitro-Diagnostika oder folgende Vorkommnisse betreffen:</w:t>
      </w:r>
    </w:p>
    <w:p>
      <w:pPr>
        <w:ind w:left="420"/>
      </w:pPr>
      <w:r>
        <w:t xml:space="preserve">1. jede Funktionsstörung, jeden Ausfall oder jede Änderung der Merkmale oder der Leistung eines Medizinproduktes sowie jede Unsachgemäßheit der Kennzeichnung oder Gebrauchsanweisung, die direkt oder indirekt zum Tod oder zu einer schwerwiegenden Verschlechterung des Gesundheitszustandes eines Patienten oder eines Anwenders oder einer anderen Person geführt haben oder hätten führen können,</w:t>
      </w:r>
    </w:p>
    <w:p>
      <w:pPr>
        <w:ind w:left="420"/>
      </w:pPr>
      <w:r>
        <w:t xml:space="preserve">2. jeden Grund technischer oder medizinischer Art, der auf Grund der in Nummer 1 genannten Ursachen durch die Merkmale und die Leistungen eines Medizinproduktes bedingt ist und zum systematischen Rückruf von Medizinprodukten desselben Typs durch den Hersteller geführt hat.</w:t>
      </w:r>
    </w:p>
    <w:p>
      <w:r>
        <w:t xml:space="preserve">§ 26 Abs. 2 Satz 3 findet entsprechende Anwendung. Die zuständige Bundesoberbehörde teilt das Ergebnis der Bewertung der zuständigen Behörde mit, die über notwendige Maßnahmen entscheidet. Die zuständige Bundesoberbehörde übermittelt Daten aus der Beobachtung, Sammlung, Auswertung und Bewertung von Risiken in Verbindung mit Medizinprodukten an das Bundesinstitut für Arzneimittel und Medizinprodukte zur zentralen Verarbeitung nach § 33. Näheres regelt die Rechtsverordnung nach § 37 Abs. 8.</w:t>
      </w:r>
    </w:p>
    <w:p>
      <w:r>
        <w:t xml:space="preserve">(2) Soweit dies zur Erfüllung der in Absatz 1 aufgeführten Aufgaben erforderlich ist, dürfen an die danach zuständigen Behörden auch Name, Anschrift und Geburtsdatum von Patienten, Anwendern oder Dritten übermittelt werden. Die nach Absatz 1 zuständige Behörde darf die nach Landesrecht zuständige Behörde auf Ersuchen über die von ihr gemeldeten Fälle und die festgestellten Erkenntnisse in bezug auf personenbezogene Daten unterrichten. Bei der Zusammenarbeit nach Absatz 3 dürfen keine personenbezogenen Daten von Patienten übermittelt werden. Satz 3 gilt auch für die Übermittlung von Daten an das Informationssystem nach § 33.</w:t>
      </w:r>
    </w:p>
    <w:p>
      <w:r>
        <w:t xml:space="preserve">(3) Die Behörde nach Absatz 1 wirkt bei der Erfüllung der dort genannten Aufgaben mit den Dienststellen der anderen Vertragsstaaten des Abkommens über den Europäischen Wirtschaftsraum und der Europäischen Kommission, der Weltgesundheitsorganisation, den für die Gesundheit und den Arbeitsschutz zuständigen Behörden anderer Staaten, den für die Gesundheit, den Arbeitsschutz, den Strahlenschutz und das Mess- und Eichwesen zuständigen Behörden der Länder und den anderen fachlich berührten Bundesoberbehörden, Benannten Stellen in Deutschland, den zuständigen Trägern der gesetzlichen Unfallversicherung, dem Medizinischen Dienst des Spitzenverbandes Bund der Krankenkassen, den einschlägigen Fachgesellschaften, den Herstellern und Vertreibern sowie mit anderen Stellen zusammen, die bei der Durchführung ihrer Aufgaben Risiken von Medizinprodukten erfassen. Besteht der Verdacht, dass ein Zwischenfall durch eine elektromagnetische Einwirkung eines anderen Gerätes als ein Medizinprodukt verursacht wurde, ist das Bundesamt für Post und Telekommunikation zu beteiligen.</w:t>
      </w:r>
    </w:p>
    <w:p>
      <w:r>
        <w:t xml:space="preserve">(4) Einzelheiten zur Durchführung der Aufgaben nach § 29 regelt der Sicherheitsplan nach § 37 Abs. 7.</w:t>
      </w:r>
    </w:p>
    <w:p>
      <w:r>
        <w:rPr>
          <w:color w:val="555555"/>
          <w:sz w:val="17"/>
        </w:rPr>
        <w:t xml:space="preserve">Zitiervorschlag: § 29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