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MPG — Verfahren zum Schutze vor Risiken</w:t>
      </w:r>
    </w:p>
    <w:p>
      <w:r>
        <w:rPr>
          <w:color w:val="555555"/>
          <w:sz w:val="18"/>
        </w:rPr>
        <w:t xml:space="preserve">Medizinproduktegesetz</w:t>
      </w:r>
    </w:p>
    <w:p>
      <w:r>
        <w:rPr>
          <w:color w:val="555555"/>
          <w:sz w:val="18"/>
        </w:rPr>
        <w:t xml:space="preserve">Außer Kraft: § 28 ist seit 26.05.2021 nicht mehr im MPG enthalten. Angezeigt wird die letzte bekannte Fassung, Stand 21.05.2021.</w:t>
      </w:r>
    </w:p>
    <w:p>
      <w:r>
        <w:t xml:space="preserve">(1) Die nach diesem Gesetz zuständige Behörde trifft alle erforderlichen Maßnahmen zum Schutze der Gesundheit und zur Sicherheit von Patienten, Anwendern und Dritten vor Gefahren durch Medizinprodukte, soweit nicht das Atomgesetz oder eine darauf gestützte Rechtsverordnung für Medizinprodukte, die ionisierende Strahlen erzeugen oder radioaktive Stoffe enthalten, für die danach zuständige Behörde entsprechende Befugnisse vorsieht.</w:t>
      </w:r>
    </w:p>
    <w:p>
      <w:r>
        <w:t xml:space="preserve">(2) Die zuständige Behörde ist insbesondere befugt, Anordnungen, auch über die Schließung des Betriebs oder der Einrichtung, zu treffen, soweit es zur Abwehr einer drohenden Gefahr für die öffentliche Gesundheit, Sicherheit oder Ordnung geboten ist. Sie kann das Inverkehrbringen, die Inbetriebnahme, das Betreiben, die Anwendung der Medizinprodukte sowie den Beginn oder die weitere Durchführung der klinischen Prüfung oder der Leistungsbewertungsprüfung untersagen, beschränken oder von der Einhaltung bestimmter Auflagen abhängig machen oder den Rückruf oder die Sicherstellung der Medizinprodukte anordnen. Sie unterrichtet hiervon die übrigen zuständigen Behörden in Deutschland, die zuständige Bundesoberbehörde und das Bundesministerium für Gesundheit.</w:t>
      </w:r>
    </w:p>
    <w:p>
      <w:r>
        <w:t xml:space="preserve">(3) Stellt die zuständige Behörde fest, dass CE-gekennzeichnete Medizinprodukte oder Sonderanfertigungen die Gesundheit oder Sicherheit von Patienten, Anwendern oder Dritten oder deren Eigentum gefährden können, auch wenn sie sachgemäß installiert, in Stand gehalten oder ihrer Zweckbestimmung entsprechend angewendet werden und trifft sie deshalb Maßnahmen mit dem Ziel, das Medizinprodukt vom Markt zu nehmen oder das Inverkehrbringen oder die Inbetriebnahme zu verbieten oder einzuschränken, teilt sie diese umgehend unter Angabe von Gründen dem Bundesministerium für Gesundheit zur Einleitung eines Schutzklauselverfahrens nach Artikel 7 der Richtlinie 90/385/EWG, Artikel 8 der Richtlinie 93/42/EWG oder Artikel 8 der Richtlinie 98/79/EG mit. In den Gründen ist insbesondere anzugeben, ob die Nichtübereinstimmung mit den Vorschriften dieses Gesetzes zurückzuführen ist auf</w:t>
      </w:r>
    </w:p>
    <w:p>
      <w:pPr>
        <w:ind w:left="420"/>
      </w:pPr>
      <w:r>
        <w:t xml:space="preserve">1. die Nichteinhaltung der Grundlegenden Anforderungen,</w:t>
      </w:r>
    </w:p>
    <w:p>
      <w:pPr>
        <w:ind w:left="420"/>
      </w:pPr>
      <w:r>
        <w:t xml:space="preserve">2. eine unzulängliche Anwendung harmonisierter Normen oder Gemeinsamer Technischer Spezifikationen, sofern deren Anwendung behauptet wird, oder</w:t>
      </w:r>
    </w:p>
    <w:p>
      <w:pPr>
        <w:ind w:left="420"/>
      </w:pPr>
      <w:r>
        <w:t xml:space="preserve">3. einen Mangel der harmonisierten Normen oder Gemeinsamen Technischen Spezifikationen selbst.</w:t>
      </w:r>
    </w:p>
    <w:p>
      <w:r>
        <w:t xml:space="preserve">(4) Die zuständige Behörde kann veranlassen, dass alle, die einer von einem Medizinprodukt ausgehenden Gefahr ausgesetzt sein können, rechtzeitig in geeigneter Form auf diese Gefahr hingewiesen werden. Eine hoheitliche Warnung der Öffentlichkeit ist zulässig, wenn bei Gefahr im Verzug andere ebenso wirksame Maßnahmen nicht oder nicht rechtzeitig getroffen werden können.</w:t>
      </w:r>
    </w:p>
    <w:p>
      <w:r>
        <w:t xml:space="preserve">(5) Maßnahmen nach Artikel 14b der Richtlinie 93/42/EWG und Artikel 13 der Richtlinie 98/79/EG trifft das Bundesministerium für Gesundheit durch Rechtsverordnung nach § 37 Abs. 6.</w:t>
      </w:r>
    </w:p>
    <w:p>
      <w:r>
        <w:rPr>
          <w:color w:val="555555"/>
          <w:sz w:val="17"/>
        </w:rPr>
        <w:t xml:space="preserve">Zitiervorschlag: § 28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