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MPG — Verfahren bei unrechtmäßiger und unzulässiger Anbringung der CE-Kennzeichnung</w:t>
      </w:r>
    </w:p>
    <w:p>
      <w:r>
        <w:rPr>
          <w:color w:val="555555"/>
          <w:sz w:val="18"/>
        </w:rPr>
        <w:t xml:space="preserve">Medizinproduktegesetz</w:t>
      </w:r>
    </w:p>
    <w:p>
      <w:r>
        <w:rPr>
          <w:color w:val="555555"/>
          <w:sz w:val="18"/>
        </w:rPr>
        <w:t xml:space="preserve">Außer Kraft: § 27 ist seit 26.05.2021 nicht mehr im MPG enthalten. Angezeigt wird die letzte bekannte Fassung, Stand 21.05.2021.</w:t>
      </w:r>
    </w:p>
    <w:p>
      <w:r>
        <w:t xml:space="preserve">(1) Stellt die zuständige Behörde fest, dass die CE-Kennzeichnung auf einem Medizinprodukt unrechtmäßig angebracht worden ist, ist der Verantwortliche nach § 5 verpflichtet, die Voraussetzungen für das rechtmäßige Anbringen der CE-Kennzeichnung nach Weisung der zuständigen Behörde zu erfüllen. Werden diese Voraussetzungen nicht erfüllt, so hat die zuständige Behörde das Inverkehrbringen dieses Medizinproduktes einzuschränken, von der Einhaltung bestimmter Auflagen abhängig zu machen, zu untersagen oder zu veranlassen, dass das Medizinprodukt vom Markt genommen wird. Sie unterrichtet davon die übrigen zuständigen Behörden in Deutschland und das Bundesministerium für Gesundheit, das die Europäische Kommission und die anderen Vertragsstaaten des Abkommens über den Europäischen Wirtschaftsraum hiervon unterrichtet.</w:t>
      </w:r>
    </w:p>
    <w:p>
      <w:r>
        <w:t xml:space="preserve">(2) Trägt ein Produkt unzulässigerweise die CE-Kennzeichnung als Medizinprodukt, trifft die zuständige Behörde die erforderlichen Maßnahmen nach Absatz 1 Satz 2. Absatz 1 Satz 3 gilt entsprechend.</w:t>
      </w:r>
    </w:p>
    <w:p>
      <w:r>
        <w:rPr>
          <w:color w:val="555555"/>
          <w:sz w:val="17"/>
        </w:rPr>
        <w:t xml:space="preserve">Zitiervorschlag: § 27 MPG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