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MPG — Allgemeine Anzeigepflicht</w:t>
      </w:r>
    </w:p>
    <w:p>
      <w:r>
        <w:rPr>
          <w:color w:val="555555"/>
          <w:sz w:val="18"/>
        </w:rPr>
        <w:t xml:space="preserve">Medizinproduktegesetz</w:t>
      </w:r>
    </w:p>
    <w:p>
      <w:r>
        <w:rPr>
          <w:color w:val="555555"/>
          <w:sz w:val="18"/>
        </w:rPr>
        <w:t xml:space="preserve">Außer Kraft: § 25 ist seit 26.05.2021 nicht mehr im MPG enthalten. Angezeigt wird die letzte bekannte Fassung, Stand 31.07.2020.</w:t>
      </w:r>
    </w:p>
    <w:p>
      <w:r>
        <w:t xml:space="preserve">(1) Wer als Verantwortlicher im Sinne von § 5 Satz 1 und 2 seinen Sitz in Deutschland hat und Medizinprodukte mit Ausnahme derjenigen nach § 3 Nr. 8 erstmalig in den Verkehr bringt, hat dies vor Aufnahme der Tätigkeit unter Angabe seiner Anschrift der zuständigen Behörde anzuzeigen; dies gilt entsprechend für Betriebe und Einrichtungen, die Medizinprodukte, die bestimmungsgemäß keimarm oder steril zur Anwendung kommen, ausschließlich für andere aufbereiten.</w:t>
      </w:r>
    </w:p>
    <w:p>
      <w:r>
        <w:t xml:space="preserve">(2) Wer Systeme oder Behandlungseinheiten nach § 10 Abs. 1 zusammensetzt oder diese sowie Medizinprodukte nach § 10 Abs. 3 sterilisiert und seinen Sitz in Deutschland hat, hat der zuständigen Behörde unter Angabe seiner Anschrift vor Aufnahme der Tätigkeit die Bezeichnung sowie bei Systemen oder Behandlungseinheiten die Beschreibung der betreffenden Medizinprodukte anzuzeigen.</w:t>
      </w:r>
    </w:p>
    <w:p>
      <w:r>
        <w:t xml:space="preserve">(3) Wer als Verantwortlicher nach § 5 Satz 1 und 2 seinen Sitz in Deutschland hat und In-vitro-Diagnostika erstmalig in Verkehr bringt, hat der zuständigen Behörde unter Angabe seiner Anschrift vor Aufnahme der Tätigkeit anzuzeigen:</w:t>
      </w:r>
    </w:p>
    <w:p>
      <w:pPr>
        <w:ind w:left="420"/>
      </w:pPr>
      <w:r>
        <w:t xml:space="preserve">1. die die gemeinsamen technologischen Merkmale und Analyten betreffenden Angaben zu Reagenzien, Medizinprodukten mit Reagenzien und Kalibrier- und Kontrollmaterialien sowie bei sonstigen In-vitro-Diagnostika die geeigneten Angaben,</w:t>
      </w:r>
    </w:p>
    <w:p>
      <w:pPr>
        <w:ind w:left="420"/>
      </w:pPr>
      <w:r>
        <w:t xml:space="preserve">2. im Falle der In-vitro-Diagnostika gemäß Anhang II der Richtlinie 98/79/EG und der In-vitro-Diagnostika zur Eigenanwendung alle Angaben, die eine Identifizierung dieser In-vitro-Diagnostika ermöglichen, die analytischen und gegebenenfalls diagnostischen Leistungsdaten gemäß Anhang I Abschnitt A Nr. 3 der Richtlinie 98/79/EG, die Ergebnisse der Leistungsbewertung sowie Angaben zu Bescheinigungen,</w:t>
      </w:r>
    </w:p>
    <w:p>
      <w:pPr>
        <w:ind w:left="420"/>
      </w:pPr>
      <w:r>
        <w:t xml:space="preserve">3. bei einem "neuen In-vitro-Diagnostikum" im Sinne von § 3 Nr. 6 zusätzlich die Angabe, dass es sich um ein "neues In-vitro-Diagnostikum" handelt.</w:t>
      </w:r>
    </w:p>
    <w:p>
      <w:r>
        <w:t xml:space="preserve">(4) Nachträgliche Änderungen der Angaben nach den Absätzen 1 bis 3 sowie eine Einstellung des Inverkehrbringens sind unverzüglich anzuzeigen.</w:t>
      </w:r>
    </w:p>
    <w:p>
      <w:r>
        <w:t xml:space="preserve">(5) Die zuständige Behörde übermittelt die Daten gemäß den Absätzen 1 bis 4 dem Bundesinstitut für Arzneimittel und Medizinprodukte zur zentralen Verarbeitung nach § 33. Dieses unterrichtet auf Anfrage die Europäische Kommission und die anderen Vertragsstaaten des Abkommens über den Europäischen Wirtschaftsraum über Anzeigen nach den Absätzen 1 bis 4.</w:t>
      </w:r>
    </w:p>
    <w:p>
      <w:r>
        <w:t xml:space="preserve">(6) Näheres zu den Absätzen 1 bis 5 regelt die Rechtsverordnung nach § 37 Abs. 8.</w:t>
      </w:r>
    </w:p>
    <w:p>
      <w:r>
        <w:rPr>
          <w:color w:val="555555"/>
          <w:sz w:val="17"/>
        </w:rPr>
        <w:t xml:space="preserve">Zitiervorschlag: § 25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