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22a MPG — Genehmigungsverfahren bei der Bundesoberbehörde</w:t>
      </w:r>
    </w:p>
    <w:p>
      <w:r>
        <w:rPr>
          <w:color w:val="555555"/>
          <w:sz w:val="18"/>
        </w:rPr>
        <w:t xml:space="preserve">Medizinproduktegesetz</w:t>
      </w:r>
    </w:p>
    <w:p>
      <w:r>
        <w:rPr>
          <w:color w:val="555555"/>
          <w:sz w:val="18"/>
        </w:rPr>
        <w:t xml:space="preserve">Außer Kraft: § 22a ist seit 26.05.2021 nicht mehr im MPG enthalten. Angezeigt wird die letzte bekannte Fassung, Stand 31.07.2020.</w:t>
      </w:r>
    </w:p>
    <w:p>
      <w:r>
        <w:t xml:space="preserve">(1) Die nach § 20 Absatz 1 Satz 1 erforderliche Genehmigung ist vom Sponsor bei der zuständigen Bundesoberbehörde zu beantragen. Der Antrag muss, jeweils mit Ausnahme der Stellungnahme der beteiligten Ethik-Kommission, bei aktiven implantierbaren Medizinprodukten die Angaben nach Nummer 2.2 des Anhangs 6 der Richtlinie 90/385/EWG und bei sonstigen Medizinprodukten die Angaben nach Nummer 2.2 des Anhangs VIII der Richtlinie 93/42/EWG enthalten. Zusätzlich hat der Sponsor alle Angaben und Unterlagen vorzulegen, die die zuständige Bundesoberbehörde zur Bewertung benötigt. Die Stellungnahme der Ethik-Kommission ist nachzureichen. Das Nähere zum Verfahren wird in einer Rechtsverordnung nach § 37 Absatz 2a geregelt.</w:t>
      </w:r>
    </w:p>
    <w:p>
      <w:r>
        <w:t xml:space="preserve">(2) Die zuständige Bundesoberbehörde hat die Aufgabe, den Prüfplan und die erforderlichen Unterlagen insbesondere nach wissenschaftlichen und technischen Gesichtspunkten zu prüfen, ob die Voraussetzungen nach § 20 Absatz 1 Satz 4 Nummer 1, 5, 6 und 8 erfüllt werden.</w:t>
      </w:r>
    </w:p>
    <w:p>
      <w:r>
        <w:t xml:space="preserve">(3) Die Genehmigung darf nur versagt werden, wenn</w:t>
      </w:r>
    </w:p>
    <w:p>
      <w:pPr>
        <w:ind w:left="420"/>
      </w:pPr>
      <w:r>
        <w:t xml:space="preserve">1. die vorgelegten Unterlagen auch nach Ablauf einer dem Sponsor gesetzten angemessenen Frist zur Ergänzung unvollständig sind,</w:t>
      </w:r>
    </w:p>
    <w:p>
      <w:pPr>
        <w:ind w:left="420"/>
      </w:pPr>
      <w:r>
        <w:t xml:space="preserve">2. das Medizinprodukt oder die vorgelegten Unterlagen, insbesondere die Angaben zum Prüfplan einschließlich der Prüferinformation, nicht dem Stand der wissenschaftlichen Erkenntnisse entsprechen, insbesondere die klinische Prüfung ungeeignet ist, den Nachweis der Unbedenklichkeit, Leistung oder Wirkung des Medizinproduktes zu erbringen, oder</w:t>
      </w:r>
    </w:p>
    <w:p>
      <w:pPr>
        <w:ind w:left="420"/>
      </w:pPr>
      <w:r>
        <w:t xml:space="preserve">3. die in § 20 Absatz 1 Satz 4 Nummer 1, 5, 6 und 8 genannten Anforderungen nicht erfüllt sind.</w:t>
      </w:r>
    </w:p>
    <w:p>
      <w:r>
        <w:t xml:space="preserve">(4) Die Genehmigung gilt als erteilt, wenn die zuständige Bundesoberbehörde dem Sponsor innerhalb von 30 Tagen nach Eingang der Antragsunterlagen keine mit Gründen versehenen Einwände übermittelt. Wenn der Sponsor auf mit Gründen versehene Einwände den Antrag nicht innerhalb einer Frist von 90 Tagen entsprechend abgeändert hat, gilt der Antrag als abgelehnt.</w:t>
      </w:r>
    </w:p>
    <w:p>
      <w:r>
        <w:t xml:space="preserve">(5) Nach einer Entscheidung der zuständigen Bundesoberbehörde über den Genehmigungsantrag oder nach Ablauf der Frist nach Absatz 4 Satz 2 ist das Einreichen von Unterlagen zur Mängelbeseitigung ausgeschlossen.</w:t>
      </w:r>
    </w:p>
    <w:p>
      <w:r>
        <w:t xml:space="preserve">(6) Die zuständige Bundesoberbehörde unterrichtet die zuständigen Behörden über genehmigte und abgelehnte klinische Prüfungen und Bewertungen der Ethik-Kommission und informiert die zuständigen Behörden der anderen Vertragsstaaten des Europäischen Wirtschaftsraums und die Europäische Kommission über abgelehnte klinische Prüfungen. Die Unterrichtung erfolgt automatisch über das Informationssystem des Bundesinstituts für Arzneimittel und Medizinprodukte. § 25 Absatz 5 und 6 gilt entsprechend.</w:t>
      </w:r>
    </w:p>
    <w:p>
      <w:r>
        <w:t xml:space="preserve">(7) Die für die Genehmigung einer klinischen Prüfung zuständige Bundesoberbehörde unterrichtet die zuständige Ethik-Kommission, sofern ihr Informationen zu anderen klinischen Prüfungen vorliegen, die für die Bewertung der von der Ethik-Kommission begutachteten Prüfung von Bedeutung sind; dies gilt insbesondere für Informationen über abgebrochene oder sonst vorzeitig beendete Prüfungen. Dabei unterbleibt die Übermittlung personenbezogener Daten; ferner sind Betriebs- und Geschäftsgeheimnisse dabei zu wahren. Absatz 6 Satz 2 und 3 gilt entsprechend.</w:t>
      </w:r>
    </w:p>
    <w:p>
      <w:r>
        <w:rPr>
          <w:color w:val="555555"/>
          <w:sz w:val="17"/>
        </w:rPr>
        <w:t xml:space="preserve">Zitiervorschlag: § 22a MPG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https://recht.nulegal.eu/gesetze/MPG/22a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