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MPG — Verfahren bei der Ethik-Kommission</w:t>
      </w:r>
    </w:p>
    <w:p>
      <w:r>
        <w:rPr>
          <w:color w:val="555555"/>
          <w:sz w:val="18"/>
        </w:rPr>
        <w:t xml:space="preserve">Medizinproduktegesetz</w:t>
      </w:r>
    </w:p>
    <w:p>
      <w:r>
        <w:rPr>
          <w:color w:val="555555"/>
          <w:sz w:val="18"/>
        </w:rPr>
        <w:t xml:space="preserve">Außer Kraft: § 22 ist seit 26.05.2021 nicht mehr im MPG enthalten. Angezeigt wird die letzte bekannte Fassung, Stand 21.05.2021.</w:t>
      </w:r>
    </w:p>
    <w:p>
      <w:r>
        <w:t xml:space="preserve">(1) Die nach § 20 Absatz 1 Satz 1 erforderliche zustimmende Bewertung der Ethik-Kommission ist vom Sponsor bei der nach Landesrecht für den Prüfer zuständigen unabhängigen interdisziplinär besetzten Ethik-Kommission zu beantragen. Wird die klinische Prüfung von mehreren Prüfern durchgeführt, so ist der Antrag bei der für den Hauptprüfer oder Leiter der klinischen Prüfung zuständigen unabhängigen Ethik-Kommission zu stellen. Bei multizentrischen klinischen Prüfungen genügt ein Votum. Das Nähere zur Bildung, Zusammensetzung und Finanzierung der Ethik-Kommission wird durch Landesrecht bestimmt. Der Sponsor hat der Ethik-Kommission alle Angaben und Unterlagen vorzulegen, die diese zur Bewertung benötigt. Zur Bewertung der Unterlagen kann die Ethik-Kommission eigene wissenschaftliche Erkenntnisse verwerten, Sachverständige beiziehen oder Gutachten anfordern. Sie hat Sachverständige beizuziehen oder Gutachten anzufordern, wenn es sich um eine klinische Prüfung bei Minderjährigen handelt und sie nicht über eigene Fachkenntnisse auf dem Gebiet der Kinderheilkunde, einschließlich ethischer und psychosozialer Fragen der Kinderheilkunde, verfügt. Das Nähere zum Verfahren wird in einer Rechtsverordnung nach § 37 Absatz 2a geregelt.</w:t>
      </w:r>
    </w:p>
    <w:p>
      <w:r>
        <w:t xml:space="preserve">(2) Die Ethik-Kommission hat die Aufgabe, den Prüfplan und die erforderlichen Unterlagen, insbesondere nach ethischen und rechtlichen Gesichtspunkten, zu beraten und zu prüfen, ob die Voraussetzungen nach § 20 Absatz 1 Satz 4 Nummer 1 bis 4 und 7 bis 9 sowie Absatz 4 und 5 und nach § 21 erfüllt werden.</w:t>
      </w:r>
    </w:p>
    <w:p>
      <w:r>
        <w:t xml:space="preserve">(3) Die zustimmende Bewertung darf nur versagt werden, wenn</w:t>
      </w:r>
    </w:p>
    <w:p>
      <w:pPr>
        <w:ind w:left="420"/>
      </w:pPr>
      <w:r>
        <w:t xml:space="preserve">1. die vorgelegten Unterlagen auch nach Ablauf einer dem Sponsor gesetzten angemessenen Frist zur Ergänzung unvollständig sind,</w:t>
      </w:r>
    </w:p>
    <w:p>
      <w:pPr>
        <w:ind w:left="420"/>
      </w:pPr>
      <w:r>
        <w:t xml:space="preserve">2. die vorgelegten Unterlagen einschließlich des Prüfplans, der Prüferinformation und der Modalitäten für die Auswahl der Probanden nicht dem Stand der wissenschaftlichen Erkenntnisse entsprechen, insbesondere die klinische Prüfung ungeeignet ist, den Nachweis der Unbedenklichkeit, Leistung oder Wirkung des Medizinproduktes zu erbringen, oder</w:t>
      </w:r>
    </w:p>
    <w:p>
      <w:pPr>
        <w:ind w:left="420"/>
      </w:pPr>
      <w:r>
        <w:t xml:space="preserve">3. die in § 20 Absatz 1 Satz 4 Nummer 1 bis 4 und 7 bis 9 sowie Absatz 4 und 5 und die in § 21 genannten Anforderungen nicht erfüllt sind.</w:t>
      </w:r>
    </w:p>
    <w:p>
      <w:r>
        <w:t xml:space="preserve">(4) Die Ethik-Kommission hat eine Entscheidung über den Antrag nach Absatz 1 innerhalb einer Frist von 60 Tagen nach Eingang der erforderlichen Unterlagen zu übermitteln. Sie unterrichtet zusätzlich die zuständige Bundesoberbehörde über die Entscheidung.</w:t>
      </w:r>
    </w:p>
    <w:p>
      <w:r>
        <w:rPr>
          <w:color w:val="555555"/>
          <w:sz w:val="17"/>
        </w:rPr>
        <w:t xml:space="preserve">Zitiervorschlag: § 22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