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MPG — Besondere Voraussetzungen zur klinischen Prüfung</w:t>
      </w:r>
    </w:p>
    <w:p>
      <w:r>
        <w:rPr>
          <w:color w:val="555555"/>
          <w:sz w:val="18"/>
        </w:rPr>
        <w:t xml:space="preserve">Medizinproduktegesetz</w:t>
      </w:r>
    </w:p>
    <w:p>
      <w:r>
        <w:rPr>
          <w:color w:val="555555"/>
          <w:sz w:val="18"/>
        </w:rPr>
        <w:t xml:space="preserve">Außer Kraft: § 21 ist seit 26.05.2021 nicht mehr im MPG enthalten. Angezeigt wird die letzte bekannte Fassung, Stand 21.05.2021.</w:t>
      </w:r>
    </w:p>
    <w:p>
      <w:r>
        <w:t xml:space="preserve">(1) Auf eine klinische Prüfung bei einer Person, die an einer Krankheit leidet, zu deren Behebung das zu prüfende Medizinprodukt angewendet werden soll, ist § 20 Absatz 1 bis 3 unter Maßgabe der Absätze 2 bis 5 anzuwenden.</w:t>
      </w:r>
    </w:p>
    <w:p>
      <w:r>
        <w:t xml:space="preserve">(2) Die klinische Prüfung darf nur durchgeführt werden, wenn die Anwendung des zu prüfenden Medizinproduktes nach den Erkenntnissen der medizinischen Wissenschaft angezeigt ist, um das Leben des Kranken zu retten, seine Gesundheit wiederherzustellen oder sein Leiden zu erleichtern.</w:t>
      </w:r>
    </w:p>
    <w:p>
      <w:r>
        <w:t xml:space="preserve">(3) Die klinische Prüfung darf auch bei einer Person, die geschäftsunfähig oder in der Geschäftsfähigkeit beschränkt ist, durchgeführt werden. Sie bedarf der Einwilligung des gesetzlichen Vertreters. Daneben bedarf es auch der Einwilligung des Vertretenen, wenn er in der Lage ist, Wesen, Bedeutung und Tragweite der klinischen Prüfung einzusehen und seinen Willen hiernach zu bestimmen.</w:t>
      </w:r>
    </w:p>
    <w:p>
      <w:r>
        <w:t xml:space="preserve">(4) Die Einwilligung des gesetzlichen Vertreters ist nur wirksam, wenn dieser durch einen Arzt, bei für die Zahnheilkunde bestimmten Medizinprodukten auch durch einen Zahnarzt, über Wesen, Bedeutung und Tragweite der klinischen Prüfung aufgeklärt worden ist. Auf den Widerruf findet § 20 Absatz 2 Satz 2 Anwendung. Der Einwilligung des gesetzlichen Vertreters bedarf es so lange nicht, als eine Behandlung ohne Aufschub erforderlich ist, um das Leben des Kranken zu retten, seine Gesundheit wiederherzustellen oder sein Leiden zu erleichtern und eine Erklärung über die Einwilligung nicht herbeigeführt werden kann.</w:t>
      </w:r>
    </w:p>
    <w:p>
      <w:r>
        <w:t xml:space="preserve">(5) Die Einwilligung des Kranken oder des gesetzlichen Vertreters ist auch wirksam, wenn sie mündlich gegenüber dem behandelnden Arzt, bei für die Zahnheilkunde bestimmten Medizinprodukten auch gegenüber dem behandelnden Zahnarzt, in Gegenwart eines Zeugen abgegeben wird, der auch bei der Information der betroffenen Person einbezogen war. Der Zeuge darf keine bei der Prüfstelle beschäftigte Person und kein Mitglied der Prüfgruppe sein. Die mündlich erteilte Einwilligung ist entweder schriftlich oder elektronisch zu dokumentieren, zu datieren und von dem Zeugen zu unterschreiben. Bei elektronischer Dokumentation erfolgt die Unterschrift durch eine qualifizierte elektronische Signatur gemäß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w:t>
      </w:r>
    </w:p>
    <w:p>
      <w:r>
        <w:rPr>
          <w:color w:val="555555"/>
          <w:sz w:val="17"/>
        </w:rPr>
        <w:t xml:space="preserve">Zitiervorschlag: § 21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