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MPG — Anwendungsbereich des Gesetzes</w:t>
      </w:r>
    </w:p>
    <w:p>
      <w:r>
        <w:rPr>
          <w:color w:val="555555"/>
          <w:sz w:val="18"/>
        </w:rPr>
        <w:t xml:space="preserve">Medizinproduktegesetz</w:t>
      </w:r>
    </w:p>
    <w:p>
      <w:r>
        <w:rPr>
          <w:color w:val="555555"/>
          <w:sz w:val="18"/>
        </w:rPr>
        <w:t xml:space="preserve">Außer Kraft: § 2 ist seit 26.05.2021 nicht mehr im MPG enthalten. Angezeigt wird die letzte bekannte Fassung, Stand 21.05.2021.</w:t>
      </w:r>
    </w:p>
    <w:p>
      <w:r>
        <w:t xml:space="preserve">(1) Dieses Gesetz gilt für Medizinprodukte und deren Zubehör. Zubehör wird als eigenständiges Medizinprodukt behandelt.</w:t>
      </w:r>
    </w:p>
    <w:p>
      <w:r>
        <w:t xml:space="preserve">(2) Dieses Gesetz gilt auch für das Anwenden, Betreiben und Instandhalten von Produkten, die nicht als Medizinprodukte in Verkehr gebracht wurden, aber mit der Zweckbestimmung eines Medizinproduktes im Sinne der Anlagen 1 und 2 der Medizinprodukte-Betreiberverordnung eingesetzt werden. Sie gelten als Medizinprodukte im Sinne dieses Gesetzes.</w:t>
      </w:r>
    </w:p>
    <w:p>
      <w:r>
        <w:t xml:space="preserve">(3) Dieses Gesetz gilt auch für Produkte, die dazu bestimmt sind, Arzneimittel im Sinne des § 2 Abs. 1 des Arzneimittelgesetzes zu verabreichen. Werden die Medizinprodukte nach Satz 1 so in den Verkehr gebracht, dass Medizinprodukt und Arzneimittel ein einheitliches, miteinander verbundenes Produkt bilden, das ausschließlich zur Anwendung in dieser Verbindung bestimmt und nicht wiederverwendbar ist, gilt dieses Gesetz nur insoweit, als das Medizinprodukt die Grundlegenden Anforderungen nach § 7 erfüllen muss, die sicherheits- und leistungsbezogene Produktfunktionen betreffen. Im Übrigen gelten die Vorschriften des Arzneimittelgesetzes.</w:t>
      </w:r>
    </w:p>
    <w:p>
      <w:r>
        <w:t xml:space="preserve">(4) Die Vorschriften des Atomgesetzes sowie des Strahlenschutzgesetzes und der auf dessen Grundlage erlassenen Rechtsverordnungen, des Chemikaliengesetzes, der Gefahrstoffverordnung, der Betriebssicherheitsverordnung, der Druckgeräteverordnung, der Aerosolpackungsverordnung sowie die Rechtsvorschriften über Geheimhaltung und Datenschutz bleiben unberührt.</w:t>
      </w:r>
    </w:p>
    <w:p>
      <w:r>
        <w:t xml:space="preserve">(4a) Dieses Gesetz gilt auch für Produkte, die vom Hersteller sowohl zur Verwendung entsprechend den Vorschriften über persönliche Schutzausrüstungen der Richtlinie 89/686/EWG des Rates vom 21. Dezember 1989 zur Angleichung der Rechtsvorschriften der Mitgliedstaaten für persönliche Schutzausrüstungen (ABl. L 399 vom 30.12.1989, S. 18) als auch der Richtlinie 93/42/EWG des Rates vom 14. Juni 1993 über Medizinprodukte (ABl. L 169 vom 12.7.1993, S. 1) bestimmt sind.</w:t>
      </w:r>
    </w:p>
    <w:p>
      <w:r>
        <w:t xml:space="preserve">(5) Dieses Gesetz gilt nicht für</w:t>
      </w:r>
    </w:p>
    <w:p>
      <w:pPr>
        <w:ind w:left="420"/>
      </w:pPr>
      <w:r>
        <w:t xml:space="preserve">1. Arzneimittel im Sinne des § 2 des Arzneimittelgesetzes; die Entscheidung darüber, ob ein Produkt ein Arzneimittel oder ein Medizinprodukt ist, erfolgt insbesondere unter Berücksichtigung der hauptsächlichen Wirkungsweise des Produkts, es sei denn, es handelt sich um ein Arzneimittel im Sinne des § 2 Absatz 1 Nummer 2 Buchstabe b des Arzneimittelgesetzes,</w:t>
      </w:r>
    </w:p>
    <w:p>
      <w:pPr>
        <w:ind w:left="420"/>
      </w:pPr>
      <w:r>
        <w:t xml:space="preserve">2. kosmetische Mittel im Sinne des § 2 Absatz 5 des Lebensmittel-, Bedarfsgegenstände- und Futtermittelgesetzbuchs,</w:t>
      </w:r>
    </w:p>
    <w:p>
      <w:pPr>
        <w:ind w:left="420"/>
      </w:pPr>
      <w:r>
        <w:t xml:space="preserve">3. menschliches Blut, Produkte aus menschlichem Blut, menschliches Plasma oder Blutzellen menschlichen Ursprungs oder Produkte, die zum Zeitpunkt des Inverkehrbringens Bluterzeugnisse, -plasma oder -zellen dieser Art enthalten, soweit es sich nicht um Medizinprodukte nach § 3 Nr. 3 oder § 3 Nr. 4 handelt,</w:t>
      </w:r>
    </w:p>
    <w:p>
      <w:pPr>
        <w:ind w:left="420"/>
      </w:pPr>
      <w:r>
        <w:t xml:space="preserve">4. Transplantate oder Gewebe oder Zellen menschlichen Ursprungs und Produkte, die Gewebe oder Zellen menschlichen Ursprungs enthalten oder aus solchen Geweben oder Zellen gewonnen wurden, soweit es sich nicht um Medizinprodukte nach § 3 Nr. 4 handelt,</w:t>
      </w:r>
    </w:p>
    <w:p>
      <w:pPr>
        <w:ind w:left="420"/>
      </w:pPr>
      <w:r>
        <w:t xml:space="preserve">5. Transplantate oder Gewebe oder Zellen tierischen Ursprungs, es sei denn, ein Produkt wird unter Verwendung von abgetötetem tierischen Gewebe oder von abgetöteten Erzeugnissen hergestellt, die aus tierischen Geweben gewonnen wurden, oder es handelt sich um Medizinprodukte nach § 3 Nr. 4.</w:t>
      </w:r>
    </w:p>
    <w:p>
      <w:r>
        <w:rPr>
          <w:color w:val="555555"/>
          <w:sz w:val="17"/>
        </w:rPr>
        <w:t xml:space="preserve">Zitiervorschlag: § 2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