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MPG — Klassifizierung von Medizinprodukten, Abgrenzung zu anderen Produkten</w:t>
      </w:r>
    </w:p>
    <w:p>
      <w:r>
        <w:rPr>
          <w:color w:val="555555"/>
          <w:sz w:val="18"/>
        </w:rPr>
        <w:t xml:space="preserve">Medizinproduktegesetz</w:t>
      </w:r>
    </w:p>
    <w:p>
      <w:r>
        <w:rPr>
          <w:color w:val="555555"/>
          <w:sz w:val="18"/>
        </w:rPr>
        <w:t xml:space="preserve">Außer Kraft: § 13 ist seit 26.05.2021 nicht mehr im MPG enthalten. Angezeigt wird die letzte bekannte Fassung, Stand 31.07.2020.</w:t>
      </w:r>
    </w:p>
    <w:p>
      <w:r>
        <w:t xml:space="preserve">(1) Medizinprodukte mit Ausnahme der In-vitro-Diagnostika und der aktiven implantierbaren Medizinprodukte werden Klassen zugeordnet. Die Klassifizierung erfolgt nach den Klassifizierungsregeln des Anhangs IX der Richtlinie 93/42/EWG.</w:t>
      </w:r>
    </w:p>
    <w:p>
      <w:r>
        <w:t xml:space="preserve">(2) Bei Meinungsverschiedenheiten zwischen dem Hersteller und einer Benannten Stelle über</w:t>
      </w:r>
    </w:p>
    <w:p>
      <w:pPr>
        <w:ind w:left="420"/>
      </w:pPr>
      <w:r>
        <w:t xml:space="preserve">1. die Anwendung der vorgenannten Regeln,</w:t>
      </w:r>
    </w:p>
    <w:p>
      <w:pPr>
        <w:ind w:left="420"/>
      </w:pPr>
      <w:r>
        <w:t xml:space="preserve">2. die Abgrenzung von Medizinprodukten zu anderen Produkten oder</w:t>
      </w:r>
    </w:p>
    <w:p>
      <w:pPr>
        <w:ind w:left="420"/>
      </w:pPr>
      <w:r>
        <w:t xml:space="preserve">3. die Einstufung, ob es sich bei Medizinprodukten der Klasse I um solche mit Messfunktion oder um steril in Verkehr gebrachte Medizinprodukte handelt,</w:t>
      </w:r>
    </w:p>
    <w:p>
      <w:r>
        <w:t xml:space="preserve">hat die Benannte Stelle der zuständigen Bundesoberbehörde die Angelegenheit zur Entscheidung vorzulegen.</w:t>
      </w:r>
    </w:p>
    <w:p>
      <w:r>
        <w:t xml:space="preserve">(3) Die zuständige Bundesoberbehörde entscheidet ferner auf Antrag einer zuständigen Behörde oder des Herstellers über</w:t>
      </w:r>
    </w:p>
    <w:p>
      <w:pPr>
        <w:ind w:left="420"/>
      </w:pPr>
      <w:r>
        <w:t xml:space="preserve">1. die Klassifizierung einzelner Medizinprodukte,</w:t>
      </w:r>
    </w:p>
    <w:p>
      <w:pPr>
        <w:ind w:left="420"/>
      </w:pPr>
      <w:r>
        <w:t xml:space="preserve">2. die Abgrenzung von Medizinprodukten zu anderen Produkten oder</w:t>
      </w:r>
    </w:p>
    <w:p>
      <w:pPr>
        <w:ind w:left="420"/>
      </w:pPr>
      <w:r>
        <w:t xml:space="preserve">3. die Einstufung, ob es sich bei Medizinprodukten der Klasse I um solche mit Messfunktion oder um steril in Verkehr gebrachte Medizinprodukte handelt.</w:t>
      </w:r>
    </w:p>
    <w:p>
      <w:r>
        <w:t xml:space="preserve">(4) Die zuständige Behörde übermittelt alle Entscheidungen über die Klassifizierung von Medizinprodukten und zur Abgrenzung von Medizinprodukten zu anderen Produkten an das Bundesinstitut für Arzneimittel und Medizinprodukte zur zentralen Verarbeitung nach § 33. Dies gilt für Entscheidungen der zuständigen Bundesoberbehörde nach Absatz 2 und 3 entsprechend.</w:t>
      </w:r>
    </w:p>
    <w:p>
      <w:r>
        <w:rPr>
          <w:color w:val="555555"/>
          <w:sz w:val="17"/>
        </w:rPr>
        <w:t xml:space="preserve">Zitiervorschlag: § 13 MPG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