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MPG — Voraussetzungen für das erstmalige Inverkehrbringen und die Inbetriebnahme von Systemen und Behandlungseinheiten sowie für das Sterilisieren von Medizinprodukten</w:t>
      </w:r>
    </w:p>
    <w:p>
      <w:r>
        <w:rPr>
          <w:color w:val="555555"/>
          <w:sz w:val="18"/>
        </w:rPr>
        <w:t xml:space="preserve">Medizinproduktegesetz</w:t>
      </w:r>
    </w:p>
    <w:p>
      <w:r>
        <w:rPr>
          <w:color w:val="555555"/>
          <w:sz w:val="18"/>
        </w:rPr>
        <w:t xml:space="preserve">Außer Kraft: § 10 ist seit 26.05.2021 nicht mehr im MPG enthalten. Angezeigt wird die letzte bekannte Fassung, Stand 21.05.2021.</w:t>
      </w:r>
    </w:p>
    <w:p>
      <w:r>
        <w:t xml:space="preserve">(1) Medizinprodukte, die eine CE-Kennzeichnung tragen und die entsprechend ihrer Zweckbestimmung innerhalb der vom Hersteller vorgesehenen Anwendungsbeschränkungen zusammengesetzt werden, um in Form eines Systems oder einer Behandlungseinheit erstmalig in den Verkehr gebracht zu werden, müssen keinem Konformitätsbewertungsverfahren unterzogen werden. Wer für die Zusammensetzung des Systems oder der Behandlungseinheit verantwortlich ist, muss in diesem Fall eine Erklärung nach Maßgabe der Rechtsverordnung nach § 37 Abs. 1 abgeben.</w:t>
      </w:r>
    </w:p>
    <w:p>
      <w:r>
        <w:t xml:space="preserve">(2) Enthalten das System oder die Behandlungseinheit Medizinprodukte oder sonstige Produkte, die keine CE-Kennzeichnung nach Maßgabe dieses Gesetzes tragen, oder ist die gewählte Kombination von Medizinprodukten nicht mit deren ursprünglicher Zweckbestimmung vereinbar, muss das System oder die Behandlungseinheit einem Konformitätsbewertungsverfahren nach Maßgabe der Rechtsverordnung nach § 37 Abs. 1 unterzogen werden.</w:t>
      </w:r>
    </w:p>
    <w:p>
      <w:r>
        <w:t xml:space="preserve">(3) Wer Systeme oder Behandlungseinheiten gemäß Absatz 1 oder 2 oder andere Medizinprodukte, die eine CE-Kennzeichnung tragen, für die der Hersteller eine Sterilisation vor ihrer Verwendung vorgesehen hat, für das erstmalige Inverkehrbringen sterilisiert, muss dafür nach Maßgabe der Rechtsverordnung nach § 37 Abs. 1 ein Konformitätsbewertungsverfahren durchführen und eine Erklärung abgeben. Dies gilt entsprechend, wenn Medizinprodukte, die steril angewendet werden, nach dem erstmaligen Inverkehrbringen aufbereitet und an andere abgegeben werden.</w:t>
      </w:r>
    </w:p>
    <w:p>
      <w:r>
        <w:t xml:space="preserve">(4) Medizinprodukte, Systeme und Behandlungseinheiten gemäß der Absätze 1 und 3 sind nicht mit einer zusätzlichen CE-Kennzeichnung zu versehen. Wer Systeme oder Behandlungseinheiten nach Absatz 1 zusammensetzt oder diese sowie Medizinprodukte nach Absatz 3 sterilisiert, hat dem Medizinprodukt nach Maßgabe des § 7 die nach den Nummern 11 bis 15 des Anhangs 1 der Richtlinie 90/385/EWG, nach den Nummern 13.1, 13.3, 13.4 und 13.6 des Anhangs I der Richtlinie 93/42/EWG oder den Nummern 8.1, 8.3 bis 8.5 und 8.7 des Anhangs I der Richtlinie 98/79/EG erforderlichen Informationen beizufügen, die auch die von dem Hersteller der Produkte, die zu dem System oder der Behandlungseinheit zusammengesetzt wurden, mitgelieferten Hinweise enthalten müssen.</w:t>
      </w:r>
    </w:p>
    <w:p>
      <w:r>
        <w:rPr>
          <w:color w:val="555555"/>
          <w:sz w:val="17"/>
        </w:rPr>
        <w:t xml:space="preserve">Zitiervorschlag: § 10 MPG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