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MPG — Zweck des Gesetzes</w:t>
      </w:r>
    </w:p>
    <w:p>
      <w:r>
        <w:rPr>
          <w:color w:val="555555"/>
          <w:sz w:val="18"/>
        </w:rPr>
        <w:t xml:space="preserve">Medizinproduktegesetz</w:t>
      </w:r>
    </w:p>
    <w:p>
      <w:r>
        <w:rPr>
          <w:color w:val="555555"/>
          <w:sz w:val="18"/>
        </w:rPr>
        <w:t xml:space="preserve">Außer Kraft: § 1 ist seit 26.05.2021 nicht mehr im MPG enthalten. Angezeigt wird die letzte bekannte Fassung, Stand 21.05.2021.</w:t>
      </w:r>
    </w:p>
    <w:p>
      <w:r>
        <w:t xml:space="preserve">Zweck dieses Gesetzes ist es, den Verkehr mit Medizinprodukten zu regeln und dadurch für die Sicherheit, Eignung und Leistung der Medizinprodukte sowie die Gesundheit und den erforderlichen Schutz der Patienten, Anwender und Dritter zu sorgen.</w:t>
      </w:r>
    </w:p>
    <w:p>
      <w:r>
        <w:rPr>
          <w:color w:val="555555"/>
          <w:sz w:val="17"/>
        </w:rPr>
        <w:t xml:space="preserve">Zitiervorschlag: § 1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