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MPDGGebV — Gebühr für die Beratung</w:t>
      </w:r>
    </w:p>
    <w:p>
      <w:r>
        <w:rPr>
          <w:color w:val="555555"/>
          <w:sz w:val="18"/>
        </w:rPr>
        <w:t xml:space="preserve">Medizinprodukterecht-Durchführungsgesetz-Gebührenverordnung</w:t>
      </w:r>
    </w:p>
    <w:p>
      <w:r>
        <w:rPr>
          <w:color w:val="555555"/>
          <w:sz w:val="18"/>
        </w:rPr>
        <w:t xml:space="preserve">Historische Fassung: Stand 26.05.2021 bis 01.10.2021. Dies ist nicht die aktuelle Fassung.</w:t>
      </w:r>
    </w:p>
    <w:p>
      <w:r>
        <w:t xml:space="preserve">Die Gebühr für die Beratung nach § 84 Satz 1 des Medizinprodukterecht-Durchführungsgesetzes</w:t>
      </w:r>
    </w:p>
    <w:p>
      <w:pPr>
        <w:ind w:left="420"/>
      </w:pPr>
      <w:r>
        <w:t xml:space="preserve">1. des Herstellers,</w:t>
      </w:r>
    </w:p>
    <w:p>
      <w:pPr>
        <w:ind w:left="420"/>
      </w:pPr>
      <w:r>
        <w:t xml:space="preserve">2. des Bevollmächtigten,</w:t>
      </w:r>
    </w:p>
    <w:p>
      <w:pPr>
        <w:ind w:left="420"/>
      </w:pPr>
      <w:r>
        <w:t xml:space="preserve">3. von Importeuren,</w:t>
      </w:r>
    </w:p>
    <w:p>
      <w:pPr>
        <w:ind w:left="420"/>
      </w:pPr>
      <w:r>
        <w:t xml:space="preserve">4. Sponsoren und</w:t>
      </w:r>
    </w:p>
    <w:p>
      <w:pPr>
        <w:ind w:left="420"/>
      </w:pPr>
      <w:r>
        <w:t xml:space="preserve">5. Benannten Stellen</w:t>
      </w:r>
    </w:p>
    <w:p>
      <w:r>
        <w:t xml:space="preserve">beträgt 500 bis 10 000 Euro.</w:t>
      </w:r>
    </w:p>
    <w:p>
      <w:r>
        <w:rPr>
          <w:color w:val="555555"/>
          <w:sz w:val="17"/>
        </w:rPr>
        <w:t xml:space="preserve">Zitiervorschlag: § 7 MPDGGebV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