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MPDGGebV — Übergangsvorschrift</w:t>
      </w:r>
    </w:p>
    <w:p>
      <w:r>
        <w:rPr>
          <w:color w:val="555555"/>
          <w:sz w:val="18"/>
        </w:rPr>
        <w:t xml:space="preserve">Medizinprodukterecht-Durchführungsgesetz-Gebührenverordnung</w:t>
      </w:r>
    </w:p>
    <w:p>
      <w:r>
        <w:rPr>
          <w:color w:val="555555"/>
          <w:sz w:val="18"/>
        </w:rPr>
        <w:t xml:space="preserve">Historische Fassung: Stand 26.05.2021 bis 01.10.2021. Dies ist nicht die aktuelle Fassung.</w:t>
      </w:r>
    </w:p>
    <w:p>
      <w:r>
        <w:t xml:space="preserve">Für eine individuell zurechenbare öffentliche Leistung, die vor dem 26. Mai 2021 beantragt oder begonnen, aber noch nicht vollständig erbracht wurde, sind Gebühren und Auslagen nach der Medizinprodukte-Gebührenverordnung in der bis einschließlich 25. Mai 2021 geltenden Fassung zu erheben.</w:t>
      </w:r>
    </w:p>
    <w:p>
      <w:r>
        <w:rPr>
          <w:color w:val="555555"/>
          <w:sz w:val="17"/>
        </w:rPr>
        <w:t xml:space="preserve">Zitiervorschlag: § 10 MPDGGebV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https://recht.nulegal.eu/gesetze/MPDGGebV/10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