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MPDGGebV — Anwendungsbereich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26.05.2021 bis 01.10.2021. Dies ist nicht die aktuelle Fassung.</w:t>
      </w:r>
    </w:p>
    <w:p>
      <w:r>
        <w:t xml:space="preserve">(1) Die nach dem Medizinprodukterecht-Durchführungsgesetz zuständige Bundesoberbehörde erhebt für ihre individuell zurechenbaren öffentlichen Leistungen Gebühren nach den Vorschriften dieser Rechtsverordnung. Auslagen sind nach § 12 des Bundesgebührengesetzes zu erheben.</w:t>
      </w:r>
    </w:p>
    <w:p>
      <w:r>
        <w:t xml:space="preserve">(2) Für In-vitro-Diagnostika ist die Medizinprodukte-Gebührenverordnung vom 27. März 2002 (BGBl. I S. 1228) in der bis einschließlich 25. Mai 2021 geltenden Fassung anzuwenden.</w:t>
      </w:r>
    </w:p>
    <w:p>
      <w:r>
        <w:rPr>
          <w:color w:val="555555"/>
          <w:sz w:val="17"/>
        </w:rPr>
        <w:t xml:space="preserve">Zitiervorschlag: § 1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