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MPDG — Strafvorschriften</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(1) Mit Freiheitsstrafe bis zu drei Jahren oder mit Geldstrafe wird bestraft, wer</w:t>
      </w:r>
    </w:p>
    <w:p>
      <w:pPr>
        <w:ind w:left="420"/>
      </w:pPr>
      <w:r>
        <w:t xml:space="preserve">1. entgegen § 11 Satz 1 ein dort genanntes Produkt betreibt oder anwendet,</w:t>
      </w:r>
    </w:p>
    <w:p>
      <w:pPr>
        <w:ind w:left="420"/>
      </w:pPr>
      <w:r>
        <w:t xml:space="preserve">2. entgegen § 12 Nummer 1 ein Produkt in den Verkehr bringt, in Betrieb nimmt, betreibt oder anwendet oder</w:t>
      </w:r>
    </w:p>
    <w:p>
      <w:pPr>
        <w:ind w:left="420"/>
      </w:pPr>
      <w:r>
        <w:t xml:space="preserve">3. entgegen § 13 Absatz 1 ein gefälschtes Produkt, ein gefälschtes Teil oder eine gefälschte Komponente herstellt, auf Lager hält, zur Abgabe anbietet, in den Verkehr bringt, in Betrieb nimmt oder auf dem Markt bereitstellt.</w:t>
      </w:r>
    </w:p>
    <w:p>
      <w:r>
        <w:t xml:space="preserve">(2) Ebenso wird bestraft, wer entgegen Artikel 120 Absatz 3 Satz 1 der Verordnung (EU) 2017/745 des Europäischen Parlaments und des Rates vom 5. April 2017 über Medizinprodukte, zur Änderung der Richtlinie 2001/83/EG, der Verordnung (EG) Nr. 178/2002 und der Verordnung (EG) Nr. 1223/2009 und zur Aufhebung der Richtlinien 90/385/EWG und 93/42/EWG des Rates (ABl. L 117 vom 5.5.2017, S. 1; L 117 vom 3.5.2019, S. 9; L 334 vom 27.12.2019, S. 165), die durch die Verordnung (EU) 2020/561 (ABl. L 130 vom 24.4.2020, S. 18) geändert worden ist, ein dort genanntes Produkt, das den Vorschriften des Strahlenschutzgesetzes oder einer auf dessen Grundlage erlassenen Rechtsverordnung unterliegt oder bei dessen Herstellung ionisierende Strahlen verwendet wurden, in Verkehr bringt oder in Betrieb nimmt.</w:t>
      </w:r>
    </w:p>
    <w:p>
      <w:r>
        <w:t xml:space="preserve">(3) Ebenso wird bestraft, wer entgegen Artikel 110 Absatz 3 Satz 1 der Verordnung (EU) 2017/746 des Europäischen Parlaments und des Rates vom 5. April 2017 über In-vitro-Diagnostika und zur Aufhebung der Richtlinie 98/79/EG und des Beschlusses 2010/227/EU der Kommission (ABl. L 117 vom 5.5.2017, S. 176; L 117 vom 3.5.2019, S. 11; L 334 vom 27.12.2019, S. 167) ein dort genanntes In-vitro-Diagnostikum, das den Vorschriften des Strahlenschutzgesetzes oder einer auf dessen Grundlage erlassenen Rechtsverordnung unterliegt oder bei dessen Herstellung ionisierende Strahlen verwendet wurden, in Verkehr bringt oder in Betrieb nimmt.</w:t>
      </w:r>
    </w:p>
    <w:p>
      <w:r>
        <w:t xml:space="preserve">(4) Ebenso wird bestraft, wer</w:t>
      </w:r>
    </w:p>
    <w:p>
      <w:pPr>
        <w:ind w:left="420"/>
      </w:pPr>
      <w:r>
        <w:t xml:space="preserve">1. ein Produkt der Klasse III nach Anhang VIII Kapitel III der Verordnung (EU) 2017/745, das weder eine Sonderanfertigung noch ein Prüfprodukt ist und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oder 3 der Verordnung (EU) 2017/745 festgestellt wurde, dass das Produkt den Anforderungen der Verordnung (EU) 2017/745 entspricht,</w:t>
      </w:r>
    </w:p>
    <w:p>
      <w:pPr>
        <w:ind w:left="420"/>
      </w:pPr>
      <w:r>
        <w:t xml:space="preserve">2. ein Produkt der Klasse IIb nach Anhang VIII Kapitel III der Verordnung (EU) 2017/745, das weder eine Sonderanfertigung noch ein Prüfprodukt ist und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oder 4 der Verordnung (EU) 2017/745 festgestellt wurde, dass das Produkt den Anforderungen der Verordnung (EU) 2017/745 entspricht,</w:t>
      </w:r>
    </w:p>
    <w:p>
      <w:pPr>
        <w:ind w:left="420"/>
      </w:pPr>
      <w:r>
        <w:t xml:space="preserve">3. ein Produkt der Klasse IIa nach Anhang VIII Kapitel III der Verordnung (EU) 2017/745, das weder eine Sonderanfertigung noch ein Prüfprodukt ist und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oder 6 der Verordnung (EU) 2017/745 festgestellt wurde, dass das Produkt den Anforderungen der Verordnung (EU) 2017/745 entspricht,</w:t>
      </w:r>
    </w:p>
    <w:p>
      <w:pPr>
        <w:ind w:left="420"/>
      </w:pPr>
      <w:r>
        <w:t xml:space="preserve">4. ein Produkt der Klasse I nach Anhang VIII Kapitel III der Verordnung (EU) 2017/745, das weder eine Sonderanfertigung noch ein Prüfprodukt ist und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die Konformität des Produktes durch Ausstellung einer EU-Konformitätserklärung nach Artikel 52 Absatz 7 Satz 1 der Verordnung (EU) 2017/745 in Verbindung mit Artikel 19 Absatz 1 Satz 1 der Verordnung (EU) 2017/745 erklärt wurde,</w:t>
      </w:r>
    </w:p>
    <w:p>
      <w:pPr>
        <w:ind w:left="420"/>
      </w:pPr>
      <w:r>
        <w:t xml:space="preserve">5. ein Produkt nach Artikel 52 Absatz 7 Satz 2 der Verordnung (EU) 2017/745,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oder 7 Satz 2 der Verordnung (EU) 2017/745 festgestellt wurde, dass das Produkt den Anforderungen der Verordnung (EU) 2017/745 entspricht,</w:t>
      </w:r>
    </w:p>
    <w:p>
      <w:pPr>
        <w:ind w:left="420"/>
      </w:pPr>
      <w:r>
        <w:t xml:space="preserve">6. eine Sonderanfertigung nach Artikel 2 Nummer 3 der Verordnung (EU) 2017/745, die keine implantierbare Sonderanfertigung der Klasse III nach Anhang VIII Kapitel III der Verordnung (EU) 2017/745 ist und die den Vorschriften des Strahlenschutzgesetzes oder einer auf dessen Grundlage erlassenen Rechtsverordnung unterliegt oder bei deren Herstellung ionisierende Strahlen verwendet wurden, in den Verkehr bringt oder in Betrieb nimmt, ohne dass zuvor in einem Verfahren nach Artikel 52 Absatz 1, 2 oder 8 Unterabsatz 1 der Verordnung (EU) 2017/745 festgestellt wurde, dass die Sonderanfertigung den Anforderungen der Verordnung (EU) 2017/745 entspricht,</w:t>
      </w:r>
    </w:p>
    <w:p>
      <w:pPr>
        <w:ind w:left="420"/>
      </w:pPr>
      <w:r>
        <w:t xml:space="preserve">7. eine implantierbare Sonderanfertigung der Klasse III nach Anhang VIII Kapitel III der Verordnung (EU) 2017/745, die den Vorschriften des Strahlenschutzgesetzes oder einer auf dessen Grundlage erlassenen Rechtsverordnung unterliegt oder bei deren Herstellung ionisierende Strahlen verwendet wurden, in den Verkehr bringt oder in Betrieb nimmt, ohne dass zuvor in einem Konformitätsbewertungsverfahren nach Artikel 52 Absatz 1, 2 oder 8 Unterabsatz 2 der Verordnung (EU) 2017/745 festgestellt wurde, dass die Sonderanfertigung den Anforderungen der Verordnung (EU) 2017/745 entspricht,</w:t>
      </w:r>
    </w:p>
    <w:p>
      <w:pPr>
        <w:ind w:left="420"/>
      </w:pPr>
      <w:r>
        <w:t xml:space="preserve">8. ein Produkt nach Artikel 1 Absatz 8 Unterabsatz 1 der Verordnung (EU) 2017/745,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9 der Verordnung (EU) 2017/745, festgestellt wurde, dass das Produkt den Anforderungen der Verordnung (EU) 2017/745 entspricht,</w:t>
      </w:r>
    </w:p>
    <w:p>
      <w:pPr>
        <w:ind w:left="420"/>
      </w:pPr>
      <w:r>
        <w:t xml:space="preserve">9. ein Produkt nach Artikel 1 Absatz 6 Buchstabe f zweiter Halbsatz oder nach Artikel 1 Absatz 10 Unterabsatz 1 der Verordnung (EU) 2017/745,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10 der Verordnung (EU) 2017/745, festgestellt wurde, dass das Produkt den Anforderungen der Verordnung (EU) 2017/745 entspricht, oder</w:t>
      </w:r>
    </w:p>
    <w:p>
      <w:pPr>
        <w:ind w:left="420"/>
      </w:pPr>
      <w:r>
        <w:t xml:space="preserve">10. ein Produkt, das aus Stoffen oder aus Kombinationen von Stoffen besteht, die dazu bestimmt sind, durch eine Körperöffnung in den menschlichen Körper eingeführt oder auf der Haut angewendet zu werden, und die vom menschlichen Körper aufgenommen oder lokal im Körper verteilt werden, und das den Vorschriften des Strahlenschutzgesetzes oder einer auf dessen Grundlage erlassenen Rechtsverordnung unterliegt oder bei dessen Herstellung ionisierende Strahlen verwendet wurden, in den Verkehr bringt, in Betrieb nimmt oder mit einer CE-Kennzeichnung nach Artikel 20 Absatz 1 der Verordnung (EU) 2017/745 versieht, ohne dass zuvor in einem Konformitätsbewertungsverfahren nach Artikel 52 Absatz 1, 2, 3, 4, 6 oder 7 der Verordnung (EU) 2017/745, jeweils in Verbindung mit Artikel 52 Absatz 11 der Verordnung (EU) 2017/745, festgestellt wurde, dass das Produkt den Anforderungen der Verordnung (EU) 2017/745 entspricht.</w:t>
      </w:r>
    </w:p>
    <w:p>
      <w:r>
        <w:t xml:space="preserve">(5) Ebenso wird bestraft, wer</w:t>
      </w:r>
    </w:p>
    <w:p>
      <w:pPr>
        <w:ind w:left="420"/>
      </w:pPr>
      <w:r>
        <w:t xml:space="preserve">1. ein In-vitro-Diagnostikum der Klasse D nach Anhang VIII der Verordnung (EU) 2017/746, das kein Produkt für Leistungsstudien ist und das den Vorschriften des Strahlenschutzgesetzes oder einer auf dessen Grundlage erlassenen Rechtsverordnung unterliegt oder bei dessen Herstellung ionisierende Strahlen verwendet wurden, in den Verkehr bringt, in Betrieb nimmt oder mit einer CE-Kennzeichnung nach Artikel 18 Absatz 1 der Verordnung (EU) 2017/746 versieht, ohne dass zuvor in einem Konformitätsbewertungsverfahren nach Artikel 48 Absatz 1, 2, 3 oder 4 der Verordnung (EU) 2017/746 festgestellt wurde, dass das In-vitro-Diagnostikum den Anforderungen der Verordnung (EU) 2017/746 entspricht,</w:t>
      </w:r>
    </w:p>
    <w:p>
      <w:pPr>
        <w:ind w:left="420"/>
      </w:pPr>
      <w:r>
        <w:t xml:space="preserve">2. ein In-vitro-Diagnostikum der Klasse C nach Anhang VIII der Verordnung (EU) 2017/746, das kein Produkt für Leistungsstudien ist und das den Vorschriften des Strahlenschutzgesetzes oder einer auf dessen Grundlage erlassenen Rechtsverordnung unterliegt oder bei dessen Herstellung ionisierende Strahlen verwendet wurden, in den Verkehr bringt, in Betrieb nimmt oder mit einer CE-Kennzeichnung nach Artikel 18 Absatz 1 der Verordnung (EU) 2017/746 versieht, ohne dass zuvor in einem Konformitätsbewertungsverfahren nach Artikel 48 Absatz 1, 2, 7 oder 8 der Verordnung (EU) 2017/746 festgestellt wurde, dass das In-vitro-Diagnostikum den Anforderungen der Verordnung (EU) 2017/746 entspricht,</w:t>
      </w:r>
    </w:p>
    <w:p>
      <w:pPr>
        <w:ind w:left="420"/>
      </w:pPr>
      <w:r>
        <w:t xml:space="preserve">3. ein In-vitro-Diagnostikum der Klasse B nach Anhang VIII der Verordnung (EU) 2017/746, das kein Produkt für Leistungsstudien ist und das den Vorschriften des Strahlenschutzgesetzes oder einer auf dessen Grundlage erlassenen Rechtsverordnung unterliegt oder bei dessen Herstellung ionisierende Strahlen verwendet wurden, in den Verkehr bringt, in Betrieb nimmt oder mit einer CE-Kennzeichnung nach Artikel 18 Absatz 1 der Verordnung (EU) 2017/746 versieht, ohne dass zuvor in einem Konformitätsbewertungsverfahren nach Artikel 48 Absatz 1, 2 oder 9 der Verordnung (EU) 2017/746 festgestellt wurde, dass das In-vitro-Diagnostikum den Anforderungen der Verordnung (EU) 2017/746 entspricht,</w:t>
      </w:r>
    </w:p>
    <w:p>
      <w:pPr>
        <w:ind w:left="420"/>
      </w:pPr>
      <w:r>
        <w:t xml:space="preserve">4. ein In-vitro-Diagnostikum der Klasse A nach Anhang VIII der Verordnung (EU) 2017/746, das kein Produkt für Leistungsstudien ist und das den Vorschriften des Strahlenschutzgesetzes oder einer auf dessen Grundlage erlassenen Rechtsverordnung unterliegt oder bei dessen Herstellung ionisierende Strahlen verwendet wurden, in den Verkehr bringt, in Betrieb nimmt oder mit einer CE-Kennzeichnung nach Artikel 18 Absatz 1 der Verordnung (EU) 2017/746 versieht, ohne dass zuvor die Konformität des In-vitro-Diagnostikums durch Ausstellung einer EU-Konformitätserklärung nach Artikel 48 Absatz 1, 2 oder 10 Unterabsatz 1 der Verordnung (EU) 2017/746, jeweils in Verbindung mit Artikel 17 Absatz 1 Satz 1 der Verordnung (EU) 2017/746, erklärt wurde, oder</w:t>
      </w:r>
    </w:p>
    <w:p>
      <w:pPr>
        <w:ind w:left="420"/>
      </w:pPr>
      <w:r>
        <w:t xml:space="preserve">5. ein In-vitro-Diagnostikum nach Artikel 48 Absatz 10 Unterabsatz 2 der Verordnung (EU) 2017/746, das kein Produkt für Leistungsstudien ist und das den Vorschriften des Strahlenschutzgesetzes oder einer auf dessen Grundlage erlassenen Rechtsverordnung unterliegt oder bei dessen Herstellung ionisierende Strahlen verwendet wurden, in den Verkehr bringt, in Betrieb nimmt oder mit einer CE-Kennzeichnung nach Artikel 18 Absatz 1 der Verordnung (EU) 2017/746 versieht, ohne dass zuvor in einem Konformitätsbewertungsverfahren nach Artikel 48 Absatz 1, 2 oder 10 Unterabsatz 2 der Verordnung (EU) 2017/746 festgestellt wurde, dass das In-vitro-Diagnostikum den Anforderungen der Verordnung (EU) 2017/746 entspricht.</w:t>
      </w:r>
    </w:p>
    <w:p>
      <w:r>
        <w:t xml:space="preserve">(6) Der Versuch ist strafbar.</w:t>
      </w:r>
    </w:p>
    <w:p>
      <w:r>
        <w:t xml:space="preserve">(7) Mit Freiheitsstrafe von einem Jahr bis zu zehn Jahren wird bestraft, wer</w:t>
      </w:r>
    </w:p>
    <w:p>
      <w:pPr>
        <w:ind w:left="420"/>
      </w:pPr>
      <w:r>
        <w:t xml:space="preserve">1. durch eine in den Absätze 1 bis 4 oder 5 bezeichnete Handlung</w:t>
      </w:r>
    </w:p>
    <w:p>
      <w:pPr>
        <w:ind w:left="780"/>
      </w:pPr>
      <w:r>
        <w:t xml:space="preserve">a) die Gesundheit einer großen Zahl von Menschen gefährdet,</w:t>
      </w:r>
    </w:p>
    <w:p>
      <w:pPr>
        <w:ind w:left="780"/>
      </w:pPr>
      <w:r>
        <w:t xml:space="preserve">b) einen anderen in die Gefahr des Todes oder einer schweren Schädigung an Körper oder Gesundheit bringt oder</w:t>
      </w:r>
    </w:p>
    <w:p>
      <w:pPr>
        <w:ind w:left="780"/>
      </w:pPr>
      <w:r>
        <w:t xml:space="preserve">c) aus grobem Eigennutz für sich oder einen anderen Vermögensvorteile großen Ausmaßes erlangt oder</w:t>
      </w:r>
    </w:p>
    <w:p>
      <w:pPr>
        <w:ind w:left="420"/>
      </w:pPr>
      <w:r>
        <w:t xml:space="preserve">2. in den Fällen des Absatzes 1 Nummer 3 gewerbsmäßig oder als Mitglied einer Bande handelt, die sich zur fortgesetzten Begehung solcher Taten verbunden hat.</w:t>
      </w:r>
    </w:p>
    <w:p>
      <w:r>
        <w:t xml:space="preserve">(8) In minder schweren Fällen des Absatzes 5 beträgt die Strafe Freiheitsstrafe von drei Monaten bis zu fünf Jahren.</w:t>
      </w:r>
    </w:p>
    <w:p>
      <w:r>
        <w:t xml:space="preserve">(9) Handelt der Täter in den Fällen der Absätze 1 bis 4 oder 5 fahrlässig, so ist die Strafe Freiheitsstrafe bis zu einem Jahr oder Geldstrafe.</w:t>
      </w:r>
    </w:p>
    <w:p>
      <w:r>
        <w:rPr>
          <w:color w:val="555555"/>
          <w:sz w:val="17"/>
        </w:rPr>
        <w:t xml:space="preserve">Zitiervorschlag: § 92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https://recht.nulegal.eu/gesetze/MPDG/92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