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67 MPDG — Informationsaustausch</w:t>
      </w:r>
    </w:p>
    <w:p>
      <w:r>
        <w:rPr>
          <w:color w:val="555555"/>
          <w:sz w:val="18"/>
        </w:rPr>
        <w:t xml:space="preserve">Medizinprodukterecht-Durchführungsgesetz</w:t>
      </w:r>
    </w:p>
    <w:p>
      <w:r>
        <w:rPr>
          <w:color w:val="555555"/>
          <w:sz w:val="18"/>
        </w:rPr>
        <w:t xml:space="preserve">Stand: 26.05.2022 (konsolidierte Textfassung, kein amtliches Inkrafttretensdatum)</w:t>
      </w:r>
    </w:p>
    <w:p>
      <w:r>
        <w:t xml:space="preserve">Über Meldungen, die nach Artikel 80 Absatz 2 Buchstabe a der Verordnung (EU) 2017/745, Artikel 76 Absatz 2 Buchstabe a der Verordnung (EU) 2017/746 oder § 64 Absatz 1 Nummer 1 eingehen, informiert das Bundesinstitut für Arzneimittel und Medizinprodukte die Behörden, die zuständig sind</w:t>
      </w:r>
    </w:p>
    <w:p>
      <w:pPr>
        <w:ind w:left="420"/>
      </w:pPr>
      <w:r>
        <w:t xml:space="preserve">1. für den Sponsor oder seinen rechtlichen Vertreter,</w:t>
      </w:r>
    </w:p>
    <w:p>
      <w:pPr>
        <w:ind w:left="420"/>
      </w:pPr>
      <w:r>
        <w:t xml:space="preserve">2. für die Prüfstellen und</w:t>
      </w:r>
    </w:p>
    <w:p>
      <w:pPr>
        <w:ind w:left="420"/>
      </w:pPr>
      <w:r>
        <w:t xml:space="preserve">3. für den Ort des schwerwiegenden unerwünschten Ereignisses.</w:t>
      </w:r>
    </w:p>
    <w:p>
      <w:r>
        <w:rPr>
          <w:color w:val="555555"/>
          <w:sz w:val="17"/>
        </w:rPr>
        <w:t xml:space="preserve">Zitiervorschlag: § 67 MPDG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https://recht.nulegal.eu/gesetze/MPDG/67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