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MPDG — Korrekturmaßnahmen der Ethik-Kommission</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Die zuständige Ethik-Kommission hat ihre zustimmende Stellungnahme zurückzunehmen, wenn sie nachträglich davon Kenntnis erlangt, dass zum Zeitpunkt der Abgabe der Stellungnahme ein Ablehnungsgrund nach § 52 Absatz 2 Nummer 2 oder 3 vorgelegen hat. Im Übrigen bleibt die § 48 des Verwaltungsverfahrensgesetzes entsprechende landesgesetzliche Vorschrift unberührt.</w:t>
      </w:r>
    </w:p>
    <w:p>
      <w:r>
        <w:t xml:space="preserve">(2) Die zuständige Ethik-Kommission hat ihre Stellungnahme zu widerrufen, wenn sie Kenntnis erlangt, dass nachträglich Tatsachen eingetreten sind, die eine Ablehnung nach § 52 Absatz 2 Nummer 2 oder 3 rechtfertigen. Im Übrigen bleibt die § 49 des Verwaltungsverfahrensgesetzes entsprechende landesgesetzliche Vorschrift unberührt.</w:t>
      </w:r>
    </w:p>
    <w:p>
      <w:r>
        <w:t xml:space="preserve">(3) Widerspruch und Anfechtungsklage gegen den Widerruf und die Rücknahme der Stellungnahme haben keine aufschiebende Wirkung.</w:t>
      </w:r>
    </w:p>
    <w:p>
      <w:r>
        <w:t xml:space="preserve">(4) Die zuständige Ethik-Kommission informiert die zuständige Bundesoberbehörde, die für den Sponsor oder für seinen rechtlichen Vertreter zuständigen Behörden und die für die Prüfstellen zuständigen Behörden über den Widerruf oder die Rücknahme der Stellungnahme über das Deutsche Medizinprodukteinformations- und Datenbanksystem nach § 86.</w:t>
      </w:r>
    </w:p>
    <w:p>
      <w:r>
        <w:rPr>
          <w:color w:val="555555"/>
          <w:sz w:val="17"/>
        </w:rPr>
        <w:t xml:space="preserve">Zitiervorschlag: § 60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