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MPDG — Vornahme von wesentlichen Änderungen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26.05.2021 (konsolidierte Textfassung, kein amtliches Inkrafttretensdatum)</w:t>
      </w:r>
    </w:p>
    <w:p>
      <w:r>
        <w:t xml:space="preserve">Der Sponsor darf die beantragte wesentliche Änderung frühestens 38 Tage nach Erhalt der Mitteilung der zuständigen Ethik-Kommission über den Eingang des ordnungsgemäßen Antrags vornehmen, es sei denn, die zuständige Ethik-Kommission hat innerhalb der Frist nach § 51 Absatz 1 eine ablehnende Stellungnahme abgegeben.</w:t>
      </w:r>
    </w:p>
    <w:p>
      <w:r>
        <w:rPr>
          <w:color w:val="555555"/>
          <w:sz w:val="17"/>
        </w:rPr>
        <w:t xml:space="preserve">Zitiervorschlag: § 59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