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MPDG — Prüfung der beantragten wesentlichen Änderungen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zuständige Ethik-Kommission prüft die wesentliche Änderung entsprechend § 50 Absatz 1.</w:t>
      </w:r>
    </w:p>
    <w:p>
      <w:r>
        <w:t xml:space="preserve">(2) Während die zuständige Ethik-Kommission ihre Stellungnahme nach Erhalt eines ordnungsgemäßen Antrags erarbeitet, kann sie einmalig zusätzliche Informationen vom Sponsor anfordern. Der Sponsor übermittelt die zusätzlichen Informationen innerhalb einer von der zuständigen Ethik-Kommission bestimmten Frist. Diese Frist soll 45 Tage ab Zugang des Informationsersuchens nicht überschreiten.</w:t>
      </w:r>
    </w:p>
    <w:p>
      <w:r>
        <w:t xml:space="preserve">(3) Sofern die beantragte wesentliche Änderung Auswirkungen auf die Qualifikation der Prüfer oder die Eignung der Prüfstelle hat, holt die zuständige Ethik-Kommission unverzüglich eine Stellungnahme der beteiligten Ethik-Kommissionen ein. Die beteiligten Ethik-Kommissionen übermitteln ihre Stellungnahme innerhalb von 20 Tagen nach Erhalt der zu prüfenden Änderungen.</w:t>
      </w:r>
    </w:p>
    <w:p>
      <w:r>
        <w:rPr>
          <w:color w:val="555555"/>
          <w:sz w:val="17"/>
        </w:rPr>
        <w:t xml:space="preserve">Zitiervorschlag: § 57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