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MPDG — Prüfung der Ordnungsmäßigkeit des Antrags durch die Ethik-Kommission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(1) Die zuständige Ethik-Kommission prüft, ob der Antrag vollständig und ordnungsgemäß ist.</w:t>
      </w:r>
    </w:p>
    <w:p>
      <w:r>
        <w:t xml:space="preserve">(2) Wenn Unterlagen zum Antrag ohne Begründung hierfür fehlen oder der Antrag aus sonstigen Gründen nicht ordnungsgemäß ist, fordert die zuständige Ethik-Kommission den Sponsor auf, die von ihr benannten Mängel innerhalb von zehn Tagen zu beheben. Die Mitteilung enthält den Hinweis, dass die Frist nach § 58 Absatz 1 erst nach Eingang des ordnungsgemäßen Antrags beginnt.</w:t>
      </w:r>
    </w:p>
    <w:p>
      <w:r>
        <w:t xml:space="preserve">(3) Die zuständige Ethik-Kommission bestätigt dem Sponsor und den beteiligten Ethik-Kommissionen innerhalb von zehn Tagen den Eingang des ordnungsgemäßen Antrags unter Angabe des Eingangsdatums.</w:t>
      </w:r>
    </w:p>
    <w:p>
      <w:r>
        <w:rPr>
          <w:color w:val="555555"/>
          <w:sz w:val="17"/>
        </w:rPr>
        <w:t xml:space="preserve">Zitiervorschlag: § 56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