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MPDG — Antrag bei der Ethik-Kommission bei wesentlichen Änderungen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Beabsichtigt der Sponsor eine Änderung, die wahrscheinlich wesentliche Auswirkungen auf die Sicherheit, die Gesundheit oder die Rechte der Prüfungsteilnehmer haben wird, beantragt der Sponsor bei der zuständigen Ethik-Kommission über das Deutsche Medizinprodukteinformations- und Datenbanksystem nach § 86 eine Stellungnahme zu der angezeigten Änderung. Der Antrag muss unter Vorlage der aktualisierten Unterlagen nach § 54 Absatz 1 und unter Angabe der Gründe für die Änderung erfolgen.</w:t>
      </w:r>
    </w:p>
    <w:p>
      <w:r>
        <w:t xml:space="preserve">(2) Das Bundesinstitut für Arzneimittel und Medizinprodukte teilt dem Sponsor, der zuständigen Ethik-Kommission sowie den beteiligten Ethik-Kommissionen den Eingang des Antrags mittels eines automatisierten elektronischen Verfahrens mit.</w:t>
      </w:r>
    </w:p>
    <w:p>
      <w:r>
        <w:rPr>
          <w:color w:val="555555"/>
          <w:sz w:val="17"/>
        </w:rPr>
        <w:t xml:space="preserve">Zitiervorschlag: § 55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