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MPDG — Anzeige von Änderungen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(1) Der Sponsor hat Änderungen in den nach § 48 Absatz 2 und § 53 Absatz 2 eingereichten Unterlagen der zuständigen Bundesoberbehörde und der zuständigen Ethik-Kommission über das Deutsche Medizinprodukteinformations- und Datenbanksystem nach § 86 unverzüglich anzuzeigen. Mit der Anzeige übermittelt der Sponsor eine aktualisierte Fassung der betreffenden Angaben und Unterlagen und kennzeichnet die Änderungen in aktualisierten Unterlagen eindeutig.</w:t>
      </w:r>
    </w:p>
    <w:p>
      <w:r>
        <w:t xml:space="preserve">(2) Das Bundesinstitut für Arzneimittel und Medizinprodukte benachrichtigt die für den Sponsor oder seinen rechtlichen Vertreter und die für die Prüfstellen zuständigen Behörden über den Eingang einer Änderungsanzeige.</w:t>
      </w:r>
    </w:p>
    <w:p>
      <w:r>
        <w:rPr>
          <w:color w:val="555555"/>
          <w:sz w:val="17"/>
        </w:rPr>
        <w:t xml:space="preserve">Zitiervorschlag: § 54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