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MPDG — Stellungnahme der Ethik-Kommission</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Die Stellungnahme der zuständigen Ethik-Kommission muss ein klares Votum im Sinne einer Zustimmung oder Ablehnung enthalten.</w:t>
      </w:r>
    </w:p>
    <w:p>
      <w:r>
        <w:t xml:space="preserve">(2) Eine Stellungnahme der zuständigen Ethik-Kommission darf nur eine Ablehnung enthalten, wenn</w:t>
      </w:r>
    </w:p>
    <w:p>
      <w:pPr>
        <w:ind w:left="420"/>
      </w:pPr>
      <w:r>
        <w:t xml:space="preserve">1. die vorgelegten Unterlagen auch nach Ablauf der in § 49 Absatz 2 bestimmten Frist unvollständig sind,</w:t>
      </w:r>
    </w:p>
    <w:p>
      <w:pPr>
        <w:ind w:left="420"/>
      </w:pPr>
      <w:r>
        <w:t xml:space="preserve">2. die vorgelegten Unterlagen einschließlich des Prüfplans, des Handbuchs des Prüfers und der Modalitäten für die Auswahl der Prüfungsteilnehmer nicht dem Stand der wissenschaftlichen Erkenntnisse entsprechen, insbesondere wenn die klinische Prüfung ungeeignet ist, Nachweise für die Sicherheit, die Leistungsmerkmale oder den Nutzen des Produktes für die Prüfungsteilnehmer oder Patienten zu erbringen, oder</w:t>
      </w:r>
    </w:p>
    <w:p>
      <w:pPr>
        <w:ind w:left="420"/>
      </w:pPr>
      <w:r>
        <w:t xml:space="preserve">3. die in Abschnitt 1, den §§ 25 bis 29, 47 Absatz 1 Nummer 1 bis 5 und Artikel 62 Absatz 3 Unterabsatz 1, Absatz 4 Buchstabe c, d, f, h und Absatz 6 der Verordnung (EU) 2017/745 genannten Anforderungen nicht erfüllt sind.</w:t>
      </w:r>
    </w:p>
    <w:p>
      <w:r>
        <w:rPr>
          <w:color w:val="555555"/>
          <w:sz w:val="17"/>
        </w:rPr>
        <w:t xml:space="preserve">Zitiervorschlag: § 52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