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MPDG — Frist zur Stellungnahme der Ethik-Kommission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Die zuständige Ethik-Kommission übermittelt dem Sponsor ihre Stellungnahme innerhalb einer Frist von 30 Tagen nach Eingang des ordnungsgemäßen Antrags.</w:t>
      </w:r>
    </w:p>
    <w:p>
      <w:r>
        <w:t xml:space="preserve">(2) Werden zusätzliche Informationen angefordert, ist der Ablauf der Frist vom Zeitpunkt der Absendung des Informationsersuchens nach § 50 Absatz 3 Satz 1 bis zum Eingang der zusätzlichen Informationen gehemmt.</w:t>
      </w:r>
    </w:p>
    <w:p>
      <w:r>
        <w:t xml:space="preserve">(3) Die Frist zur Stellungnahme verlängert sich um 15 Tage, wenn sich die Ethik-Kommission durch Sachverständige beraten lässt. In diesem Fall teilt die Ethik-Kommission dem Sponsor spätestens 20 Tage nach Eingang des ordnungsgemäßen Antrags mit, dass sich die Frist auf Grund der Beratung durch Sachverständige verlängert.</w:t>
      </w:r>
    </w:p>
    <w:p>
      <w:r>
        <w:t xml:space="preserve">(4) Verlängert sich nach § 36b Absatz 2 Nummer 3 des Strahlenschutzgesetzes die Frist zur Erstellung der strahlenschutzrechtlichen Stellungnahme der Ethik-Kommission oder ist deren Ablauf gehemmt, verlängert sich auch die der Ethik-Kommission zur Erstellung der Stellungnahme nach § 50 zustehende Frist entsprechend oder ist deren Ablauf entsprechend gehemmt.</w:t>
      </w:r>
    </w:p>
    <w:p>
      <w:r>
        <w:rPr>
          <w:color w:val="555555"/>
          <w:sz w:val="17"/>
        </w:rPr>
        <w:t xml:space="preserve">Zitiervorschlag: § 51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