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MPDG — Anforderungen an sonstige klinische Prüfungen</w:t>
      </w:r>
    </w:p>
    <w:p>
      <w:r>
        <w:rPr>
          <w:color w:val="555555"/>
          <w:sz w:val="18"/>
        </w:rPr>
        <w:t xml:space="preserve">Medizinprodukterecht-Durchführungsgesetz</w:t>
      </w:r>
    </w:p>
    <w:p>
      <w:r>
        <w:rPr>
          <w:color w:val="555555"/>
          <w:sz w:val="18"/>
        </w:rPr>
        <w:t xml:space="preserve">Stand: 06.11.2024 (konsolidierte Textfassung, kein amtliches Inkrafttretensdatum)</w:t>
      </w:r>
    </w:p>
    <w:p>
      <w:r>
        <w:t xml:space="preserve">(1) Eine sonstige klinische Prüfung eines Produktes darf auch bei Vorliegen der Voraussetzungen des Artikels 82 Absatz 1 der Verordnung (EU) 2017/745 und des Abschnitts 1 nur durchgeführt werden, wenn und solange</w:t>
      </w:r>
    </w:p>
    <w:p>
      <w:pPr>
        <w:ind w:left="420"/>
      </w:pPr>
      <w:r>
        <w:t xml:space="preserve">1. die vorhersehbaren Risiken und Belastungen gegenüber dem erwarteten Nutzen für die Person, bei der die sonstige klinische Prüfung durchgeführt werden soll, oder die vorhersehbaren Risiken und Belastungen für den Prüfungsteilnehmer, gemessen an der voraussichtlichen Bedeutung des Medizinproduktes, für die Heilkunde ärztlich vertretbar sind,</w:t>
      </w:r>
    </w:p>
    <w:p>
      <w:pPr>
        <w:ind w:left="420"/>
      </w:pPr>
      <w:r>
        <w:t xml:space="preserve">2. die sonstige klinische Prüfung so geplant ist, dass sie mit möglichst wenig Schmerzen, Beschwerden, Angst und allen anderen vorhersehbaren Risiken für die Prüfungsteilnehmer verbunden ist und sowohl die Risikoschwelle als auch das Ausmaß der Belastung im klinischen Prüfplan definiert und ständig überprüft werden,</w:t>
      </w:r>
    </w:p>
    <w:p>
      <w:pPr>
        <w:ind w:left="420"/>
      </w:pPr>
      <w:r>
        <w:t xml:space="preserve">3. die Verantwortung für die medizinische Versorgung der Prüfungsteilnehmer eine Ärztin oder ein Arzt, bei für die Zahnheilkunde bestimmten Medizinprodukten eine Zahnärztin oder ein Zahnarzt mit geeigneter Qualifikation trägt,</w:t>
      </w:r>
    </w:p>
    <w:p>
      <w:pPr>
        <w:ind w:left="420"/>
      </w:pPr>
      <w:r>
        <w:t xml:space="preserve">4. die Prüfungsteilnehmer oder ihre gesetzlichen oder rechtsgeschäftlichen Vertreter keiner unzulässigen Beeinflussung, etwa finanzieller Art, ausgesetzt werden, um sie zur Teilnahme an der sonstigen klinischen Prüfung zu bewegen, und</w:t>
      </w:r>
    </w:p>
    <w:p>
      <w:pPr>
        <w:ind w:left="420"/>
      </w:pPr>
      <w:r>
        <w:t xml:space="preserve">5. die Prüfstelle und deren Räumlichkeiten für die sonstige klinische Prüfung geeignet sind.</w:t>
      </w:r>
    </w:p>
    <w:p>
      <w:r>
        <w:t xml:space="preserve">(2) Mit einer sonstigen klinischen Prüfung darf nur begonnen werden, wenn</w:t>
      </w:r>
    </w:p>
    <w:p>
      <w:pPr>
        <w:ind w:left="420"/>
      </w:pPr>
      <w:r>
        <w:t xml:space="preserve">1. eine zustimmende Stellungnahme der zuständigen Ethik-Kommission nach § 52 Absatz 1 vorliegt und</w:t>
      </w:r>
    </w:p>
    <w:p>
      <w:pPr>
        <w:ind w:left="420"/>
      </w:pPr>
      <w:r>
        <w:t xml:space="preserve">2. die sonstige klinische Prüfung der zuständigen Bundesoberbehörde nach § 53 Absatz 1 angezeigt wurde.</w:t>
      </w:r>
    </w:p>
    <w:p>
      <w:r>
        <w:t xml:space="preserve">(3) Die Absätze 1 und 2 sowie die §§ 25 und 30 sind nicht anzuwenden auf eine sonstige klinische Prüfung eines Produktes, das bereits die CE-Kennzeichnung nach Artikel 20 Absatz 1 der Verordnung (EU) 2017/745 trägt, wenn</w:t>
      </w:r>
    </w:p>
    <w:p>
      <w:pPr>
        <w:ind w:left="420"/>
      </w:pPr>
      <w:r>
        <w:t xml:space="preserve">1. die prüfungsbezogene Verwendung des Produktes im Rahmen seiner von der CE-Kennzeichnung umfassten Zweckbestimmung erfolgt und</w:t>
      </w:r>
    </w:p>
    <w:p>
      <w:pPr>
        <w:ind w:left="420"/>
      </w:pPr>
      <w:r>
        <w:t xml:space="preserve">2. die Prüfungsteilnehmer über die normalen Verwendungsbedingungen des Produktes hinaus keinen zusätzlichen invasiven oder belastenden Verfahren unterzogen werden.</w:t>
      </w:r>
    </w:p>
    <w:p>
      <w:r>
        <w:rPr>
          <w:color w:val="555555"/>
          <w:sz w:val="17"/>
        </w:rPr>
        <w:t xml:space="preserve">Zitiervorschlag: § 47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