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MPDG — Zugang der Ethik-Kommission zu Mitteilungen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26.05.2022 (konsolidierte Textfassung, kein amtliches Inkrafttretensdatum)</w:t>
      </w:r>
    </w:p>
    <w:p>
      <w:r>
        <w:t xml:space="preserve">Das Bundesinstitut für Arzneimittel und Medizinprodukte ermöglicht der nach § 33 Absatz 1 zuständigen Ethik-Kommission in geeigneter Form den unverzüglichen Zugang zu der Mitteilung des Sponsors über eine wesentliche Änderung nach Artikel 75 der Verordnung (EU) 2017/745 oder Artikel 71 der Verordnung (EU) 2017/746.</w:t>
      </w:r>
    </w:p>
    <w:p>
      <w:r>
        <w:rPr>
          <w:color w:val="555555"/>
          <w:sz w:val="17"/>
        </w:rPr>
        <w:t xml:space="preserve">Zitiervorschlag: § 40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