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MPDG — Ergänzende Anzeigepflichten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26.05.2021 (konsolidierte Textfassung, kein amtliches Inkrafttretensdatum)</w:t>
      </w:r>
    </w:p>
    <w:p>
      <w:r>
        <w:t xml:space="preserve">(1) Betriebe und Einrichtungen, die Produkte, die bestimmungsgemäß keimarm oder steril zur Anwendung kommen, ausschließlich für andere aufbereiten, oder Gesundheitseinrichtungen, die Einmalprodukte nach Artikel 17 Absatz 3 der Verordnung (EU) 2017/745 aufbereiten oder aufbereiten lassen, haben dies vor Aufnahme der Tätigkeit unter Angabe ihrer Anschrift der zuständigen Behörde über das Deutsche Medizinprodukteinformations- und Datenbanksystem nach § 86 anzuzeigen, sofern sie nicht nach Artikel 31 der Verordnung (EU) 2017/745 zur Registrierung verpflichtet sind.</w:t>
      </w:r>
    </w:p>
    <w:p>
      <w:r>
        <w:t xml:space="preserve">(2) Betriebe und Einrichtungen, die implantierbare Sonderanfertigungen der Klasse III herstellen, haben dies vor Aufnahme der Tätigkeit unter Angabe ihrer Anschrift der zuständigen Behörde über das Deutsche Medizinprodukteinformations- und Datenbanksystem nach § 86 anzuzeigen.</w:t>
      </w:r>
    </w:p>
    <w:p>
      <w:r>
        <w:t xml:space="preserve">(3) Jede Änderung der Angaben, die nach den Absätzen 1 und 2 anzeigepflichtig sind, ist der zuständigen Behörde unverzüglich über das Deutsche Medizinprodukteinformations- und Datenbanksystem nach § 86 anzuzeigen.</w:t>
      </w:r>
    </w:p>
    <w:p>
      <w:r>
        <w:rPr>
          <w:color w:val="555555"/>
          <w:sz w:val="17"/>
        </w:rPr>
        <w:t xml:space="preserve">Zitiervorschlag: § 4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