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MPDG — Anforderungen an die Ethik-Kommissionen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Stellungnahmen nach Artikel 62 Absatz 4 Buchstabe b der Verordnung (EU) 2017/745 oder Artikel 58 Absatz 5 Buchstabe b der Verordnung (EU) 2017/746 dürfen nur öffentlich-rechtliche, nach Landesrecht gebildete Ethik-Kommissionen und die Spezialisierte Ethik-Kommission für besondere Verfahren nach § 41c des Arzneimittelgesetzes abgeben, die den Anforderungen nach den Absätzen 2 bis 4 entsprechen.</w:t>
      </w:r>
    </w:p>
    <w:p>
      <w:r>
        <w:t xml:space="preserve">(2) Ethik-Kommissionen sind besetzt mit mindestens</w:t>
      </w:r>
    </w:p>
    <w:p>
      <w:pPr>
        <w:ind w:left="420"/>
      </w:pPr>
      <w:r>
        <w:t xml:space="preserve">1. einer Juristin oder einem Juristen,</w:t>
      </w:r>
    </w:p>
    <w:p>
      <w:pPr>
        <w:ind w:left="420"/>
      </w:pPr>
      <w:r>
        <w:t xml:space="preserve">2. einer Person mit wissenschaftlicher oder beruflicher Erfahrung auf dem Gebiet der Ethik in der Medizin,</w:t>
      </w:r>
    </w:p>
    <w:p>
      <w:pPr>
        <w:ind w:left="420"/>
      </w:pPr>
      <w:r>
        <w:t xml:space="preserve">3. einer Person mit wissenschaftlicher oder beruflicher Erfahrung auf dem Gebiet der Medizintechnik,</w:t>
      </w:r>
    </w:p>
    <w:p>
      <w:pPr>
        <w:ind w:left="420"/>
      </w:pPr>
      <w:r>
        <w:t xml:space="preserve">4. drei Ärztinnen oder Ärzten, die über Erfahrungen in der klinischen Medizin verfügen,</w:t>
      </w:r>
    </w:p>
    <w:p>
      <w:pPr>
        <w:ind w:left="420"/>
      </w:pPr>
      <w:r>
        <w:t xml:space="preserve">5. einer Person mit Erfahrung in der Versuchsplanung und Statistik und</w:t>
      </w:r>
    </w:p>
    <w:p>
      <w:pPr>
        <w:ind w:left="420"/>
      </w:pPr>
      <w:r>
        <w:t xml:space="preserve">6. einem Laien, der nicht dem Personenkreis nach den Nummern 1 bis 5 angehört.</w:t>
      </w:r>
    </w:p>
    <w:p>
      <w:r>
        <w:t xml:space="preserve">(3) Den Ethik-Kommissionen gehören weibliche und männliche Mitglieder an. Bei der Auswahl der Mitglieder und externen Sachverständigen werden Frauen und Männer mit dem Ziel der gleichberechtigten Teilhabe gleichermaßen berücksichtigt.</w:t>
      </w:r>
    </w:p>
    <w:p>
      <w:r>
        <w:t xml:space="preserve">(4) Die Ethik-Kommissionen haben eine Geschäftsordnung oder Satzung, die insbesondere verpflichtende Regelungen zur Arbeitsweise der Ethik-Kommission trifft. Dazu gehören Regelungen</w:t>
      </w:r>
    </w:p>
    <w:p>
      <w:pPr>
        <w:ind w:left="420"/>
      </w:pPr>
      <w:r>
        <w:t xml:space="preserve">1. zur Geschäftsführung,</w:t>
      </w:r>
    </w:p>
    <w:p>
      <w:pPr>
        <w:ind w:left="420"/>
      </w:pPr>
      <w:r>
        <w:t xml:space="preserve">2. zum Vorsitz,</w:t>
      </w:r>
    </w:p>
    <w:p>
      <w:pPr>
        <w:ind w:left="420"/>
      </w:pPr>
      <w:r>
        <w:t xml:space="preserve">3. zur Vorbereitung von Beschlüssen,</w:t>
      </w:r>
    </w:p>
    <w:p>
      <w:pPr>
        <w:ind w:left="420"/>
      </w:pPr>
      <w:r>
        <w:t xml:space="preserve">4. zur Beschlussfassung,</w:t>
      </w:r>
    </w:p>
    <w:p>
      <w:pPr>
        <w:ind w:left="420"/>
      </w:pPr>
      <w:r>
        <w:t xml:space="preserve">5. zur Ehrenamtlichkeit, zur Verschwiegenheitspflicht der Mitglieder und der externen Sachverständigen und</w:t>
      </w:r>
    </w:p>
    <w:p>
      <w:pPr>
        <w:ind w:left="420"/>
      </w:pPr>
      <w:r>
        <w:t xml:space="preserve">6. zur Einholung von Unabhängigkeitserklärungen der beteiligten Mitglieder und externen Sachverständigen, die beinhalten, dass diese keine finanziellen oder persönlichen Interessen haben, die Auswirkungen auf ihre Unparteilichkeit haben könnten.</w:t>
      </w:r>
    </w:p>
    <w:p>
      <w:r>
        <w:rPr>
          <w:color w:val="555555"/>
          <w:sz w:val="17"/>
        </w:rPr>
        <w:t xml:space="preserve">Zitiervorschlag: § 32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