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31b MPDG — Beginn von Leistungsstudien mit therapiebegleitenden Diagnostika unter Verwendung von Restproben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06.11.2024 (konsolidierte Textfassung, kein amtliches Inkrafttretensdatum)</w:t>
      </w:r>
    </w:p>
    <w:p>
      <w:r>
        <w:t xml:space="preserve">(1) Leistungsstudien, die therapiebegleitende Diagnostika einbeziehen, bei denen nur Restproben verwendet werden, muss der Sponsor dem Bundesinstitut für Arzneimittel und Medizinprodukte vor Beginn über das Deutsche Medizinprodukteinformations- und Datenbanksystem nach § 86 anzeigen. Das Bundesinstitut für Arzneimittel und Medizinprodukte benachrichtigt das Paul-Ehrlich-Institut mittels eines automatisierten Verfahrens über den Eingang der Anzeige.</w:t>
      </w:r>
    </w:p>
    <w:p>
      <w:r>
        <w:t xml:space="preserve">(2) Die Anzeige nach Absatz 1 enthält folgende Angaben und Unterlagen:</w:t>
      </w:r>
    </w:p>
    <w:p>
      <w:pPr>
        <w:ind w:left="420"/>
      </w:pPr>
      <w:r>
        <w:t xml:space="preserve">1. den Namen, die Anschrift und die Kontaktdaten des Sponsors und gegebenenfalls seines in der Europäischen Union niedergelassenen rechtlichen Vertreters nach Artikel 58 Absatz 4 der Verordnung (EU) 2017/746,</w:t>
      </w:r>
    </w:p>
    <w:p>
      <w:pPr>
        <w:ind w:left="420"/>
      </w:pPr>
      <w:r>
        <w:t xml:space="preserve">2. den Namen, die Anschrift und die Kontaktdaten des Herstellers des therapiebegleitenden Diagnostikums, das einer Leistungsbewertung unterzogen werden soll, und gegebenenfalls seines Bevollmächtigten, falls diese Angaben von Nummer 1 abweichen,</w:t>
      </w:r>
    </w:p>
    <w:p>
      <w:pPr>
        <w:ind w:left="420"/>
      </w:pPr>
      <w:r>
        <w:t xml:space="preserve">3. die Bezeichnung der Leistungsstudie,</w:t>
      </w:r>
    </w:p>
    <w:p>
      <w:pPr>
        <w:ind w:left="420"/>
      </w:pPr>
      <w:r>
        <w:t xml:space="preserve">4. eine kurze Beschreibung des therapiebegleitenden Diagnostikums, das Gegenstand der Leistungsstudie ist,</w:t>
      </w:r>
    </w:p>
    <w:p>
      <w:pPr>
        <w:ind w:left="420"/>
      </w:pPr>
      <w:r>
        <w:t xml:space="preserve">5. den Internationalen Freinamen (INN) des dazugehörigen Arzneimittels,</w:t>
      </w:r>
    </w:p>
    <w:p>
      <w:pPr>
        <w:ind w:left="420"/>
      </w:pPr>
      <w:r>
        <w:t xml:space="preserve">6. den Leistungsstudienplan nach Anhang XIII Teil A Abschnitt 2.3.2. der Verordnung (EU) 2017/746,</w:t>
      </w:r>
    </w:p>
    <w:p>
      <w:pPr>
        <w:ind w:left="420"/>
      </w:pPr>
      <w:r>
        <w:t xml:space="preserve">7. die Herkunft der zu untersuchenden Proben und</w:t>
      </w:r>
    </w:p>
    <w:p>
      <w:pPr>
        <w:ind w:left="420"/>
      </w:pPr>
      <w:r>
        <w:t xml:space="preserve">8. die zustimmende Stellungnahme der nach § 33 Absatz 1 zuständigen Ethik-Kommission.</w:t>
      </w:r>
    </w:p>
    <w:p>
      <w:r>
        <w:rPr>
          <w:color w:val="555555"/>
          <w:sz w:val="17"/>
        </w:rPr>
        <w:t xml:space="preserve">Zitiervorschlag: § 31b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