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MPDG — Beginn einer klinischen Prüfung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26.05.2021 (konsolidierte Textfassung, kein amtliches Inkrafttretensdatum)</w:t>
      </w:r>
    </w:p>
    <w:p>
      <w:r>
        <w:t xml:space="preserve">(1) Eine klinische Prüfung von Produkten, die nach den Klassifizierungsregeln des Anhangs VIII Kapitel III der Verordnung (EU) 2017/745 der Klasse I zugeordnet sind, oder von nicht invasiven Produkten, die nach den Klassifizierungsregeln des Anhangs VIII Kapitel III der Verordnung (EU) 2017/745 der Klasse IIa zugeordnet sind, darf erst begonnen werden, wenn</w:t>
      </w:r>
    </w:p>
    <w:p>
      <w:pPr>
        <w:ind w:left="420"/>
      </w:pPr>
      <w:r>
        <w:t xml:space="preserve">1. die zuständige Bundesoberbehörde innerhalb von zehn Tagen nach dem Validierungsdatum nach Artikel 70 Absatz 5 der Verordnung (EU) 2017/745 nicht widersprochen hat und</w:t>
      </w:r>
    </w:p>
    <w:p>
      <w:pPr>
        <w:ind w:left="420"/>
      </w:pPr>
      <w:r>
        <w:t xml:space="preserve">2. die nach § 33 Absatz 1 zuständige Ethik-Kommission hierfür eine zustimmende Stellungnahme abgegeben hat.</w:t>
      </w:r>
    </w:p>
    <w:p>
      <w:r>
        <w:t xml:space="preserve">(2) Eine klinische Prüfung von anderen als den in Absatz 1 genannten Produkten darf nur begonnen werden, wenn</w:t>
      </w:r>
    </w:p>
    <w:p>
      <w:pPr>
        <w:ind w:left="420"/>
      </w:pPr>
      <w:r>
        <w:t xml:space="preserve">1. die zuständige Bundesoberbehörde hierfür eine Genehmigung erteilt hat und</w:t>
      </w:r>
    </w:p>
    <w:p>
      <w:pPr>
        <w:ind w:left="420"/>
      </w:pPr>
      <w:r>
        <w:t xml:space="preserve">2. die nach § 33 Absatz 1 zuständige Ethik-Kommission hierfür eine zustimmende Stellungnahme abgegeben hat.</w:t>
      </w:r>
    </w:p>
    <w:p>
      <w:r>
        <w:rPr>
          <w:color w:val="555555"/>
          <w:sz w:val="17"/>
        </w:rPr>
        <w:t xml:space="preserve">Zitiervorschlag: § 31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