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MPDG — Anwendungsbereich des Gesetzes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(1) Dieses Gesetz ist anzuwenden auf Produkte im Anwendungsbereich der Verordnung (EU) 2017/745 und der Verordnung (EU) 2017/746.</w:t>
      </w:r>
    </w:p>
    <w:p>
      <w:r>
        <w:t xml:space="preserve">(2) Dieses Gesetz gilt auch für das Anwenden, Betreiben und Instandhalten von Produkten, die nicht als Medizinprodukte in Verkehr gebracht wurden, aber mit der Zweckbestimmung eines Medizinproduktes im Sinne der Anlagen 1 und 2 der Medizinprodukte-Betreiberverordnung angewendet werden.</w:t>
      </w:r>
    </w:p>
    <w:p>
      <w:r>
        <w:rPr>
          <w:color w:val="555555"/>
          <w:sz w:val="17"/>
        </w:rPr>
        <w:t xml:space="preserve">Zitiervorschlag: § 2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