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MPDG — Wahrnehmung der mit der Notifizierung und Benennung verbundenen Aufgaben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(1) Die Wahrnehmung der den Mitgliedstaaten zukommenden und mit der Notifizierung und Benennung verbundenen Aufgaben des Kapitels IV der Verordnung (EU) 2017/745 sowie des Kapitels IV der Verordnung (EU) 2017/746 obliegen der für Benannte Stellen zuständigen Behörde.</w:t>
      </w:r>
    </w:p>
    <w:p>
      <w:r>
        <w:t xml:space="preserve">(2) Hat ein anderer Mitgliedstaat eine Konformitätsbewertungsstelle nach Artikel 42 der Verordnung (EU) 2017/745 oder Artikel 38 der Verordnung (EU) 2017/746 notifiziert, entscheidet die für Benannte Stellen zuständige Behörde, ob dagegen Einwände nach Artikel 42 Absatz 6 der Verordnung (EU) 2017/745 oder Artikel 38 Absatz 6 der Verordnung (EU) 2017/746 zu erheben sind.</w:t>
      </w:r>
    </w:p>
    <w:p>
      <w:r>
        <w:rPr>
          <w:color w:val="555555"/>
          <w:sz w:val="17"/>
        </w:rPr>
        <w:t xml:space="preserve">Zitiervorschlag: § 17a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