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MPDG — Sonstige Übergangsregelungen für In-vitro-Diagnostika und deren Zubehör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06.11.2024 (konsolidierte Textfassung, kein amtliches Inkrafttretensdatum)</w:t>
      </w:r>
    </w:p>
    <w:p>
      <w:r>
        <w:t xml:space="preserve">(1) Für In-vitro-Diagnostika und deren Zubehör im Sinne von § 3 Nummer 4 und 9 des Medizinproduktegesetzes in der bis einschließlich 25. Mai 2021 geltenden Fassung, die vor dem 26. Mai 2022 nach den die Richtlinie 98/79/EG umsetzenden nationalen Vorschriften rechtmäßig in den Verkehr gebracht oder in Betrieb genommen wurden, sind folgende Vorschriften anzuwenden:</w:t>
      </w:r>
    </w:p>
    <w:p>
      <w:pPr>
        <w:ind w:left="420"/>
      </w:pPr>
      <w:r>
        <w:t xml:space="preserve">1. die §§ 4 und 6 Absatz 1 des Medizinproduktegesetzes in der bis einschließlich 25. Mai 2021 geltenden Fassung,</w:t>
      </w:r>
    </w:p>
    <w:p>
      <w:pPr>
        <w:ind w:left="420"/>
      </w:pPr>
      <w:r>
        <w:t xml:space="preserve">2. die Vorschriften zur Verpflichtung der Hersteller zum Bereithalten von Unterlagen nach der Richtlinie 98/79/EG,</w:t>
      </w:r>
    </w:p>
    <w:p>
      <w:pPr>
        <w:ind w:left="420"/>
      </w:pPr>
      <w:r>
        <w:t xml:space="preserve">3. die Vorschriften von Abschnitt 8 des Medizinproduktegesetzes in der bis einschließlich 25. Mai 2021 geltenden Fassung,</w:t>
      </w:r>
    </w:p>
    <w:p>
      <w:pPr>
        <w:ind w:left="420"/>
      </w:pPr>
      <w:r>
        <w:t xml:space="preserve">4. die Artikel 82 bis 84 der Verordnung (EU) 2017/746,</w:t>
      </w:r>
    </w:p>
    <w:p>
      <w:pPr>
        <w:ind w:left="420"/>
      </w:pPr>
      <w:r>
        <w:t xml:space="preserve">5. die Artikel 88 bis 93 der Verordnung (EU) 2017/746,</w:t>
      </w:r>
    </w:p>
    <w:p>
      <w:pPr>
        <w:ind w:left="420"/>
      </w:pPr>
      <w:r>
        <w:t xml:space="preserve">6. die Vorschriften des Kapitels 7 dieses Gesetzes.</w:t>
      </w:r>
    </w:p>
    <w:p>
      <w:r>
        <w:t xml:space="preserve">(2) Die für Benannte Stellen zuständige Behörde nach Artikel 31 der Verordnung (EU) 2017/746 überwacht bis zum Ablauf der in Artikel 110 Absatz 3a und 3b der Verordnung (EU) 2017/746 festgelegten Fristen in angemessener Weise</w:t>
      </w:r>
    </w:p>
    <w:p>
      <w:pPr>
        <w:ind w:left="420"/>
      </w:pPr>
      <w:r>
        <w:t xml:space="preserve">1. die Einhaltung der Verpflichtungen einer Benannten Stelle nach Artikel 110 Absatz 3e der Verordnung (EU) 2017/746 sowie</w:t>
      </w:r>
    </w:p>
    <w:p>
      <w:pPr>
        <w:ind w:left="420"/>
      </w:pPr>
      <w:r>
        <w:t xml:space="preserve">2. die Einhaltung der Kriterien des Anhangs IX der Richtlinie 98/79/EG durch die Benannte Stelle, die die Verpflichtungen nach Artikel 110 Absatz 3e der Verordnung (EU) 2017/746 zu erfüllen hat, und</w:t>
      </w:r>
    </w:p>
    <w:p>
      <w:pPr>
        <w:ind w:left="420"/>
      </w:pPr>
      <w:r>
        <w:t xml:space="preserve">3. die Einhaltung der Verpflichtungen eines nach § 15 Absatz 5 des Medizinproduktegesetzes in der bis einschließlich 25. Mai 2021 geltenden Fassung anerkannten Prüflaboratoriums für In-vitro-Diagnostika.</w:t>
      </w:r>
    </w:p>
    <w:p>
      <w:r>
        <w:t xml:space="preserve">§ 15 Absatz 2 Satz 2 bis 5 und Absatz 5 Satz 4 des Medizinproduktegesetzes in der bis einschließlich 25. Mai 2021 geltenden Fassung ist bis zum Ablauf der in Artikel 110 Absatz 3a und 3b der Verordnung (EU) 2017/746 festgelegten Fristen entsprechend anzuwenden.</w:t>
      </w:r>
    </w:p>
    <w:p>
      <w:r>
        <w:t xml:space="preserve">(3) Vor dem 26. Mai 2022 begonnene Leistungsbewertungsprüfungen nach § 24 des Medizinproduktegesetzes in der bis einschließlich 25. Mai 2021 geltenden Fassung dürfen auf der Grundlage der bis einschließlich 25. Mai 2022 für sie geltenden Vorschriften als Leistungsstudien gemäß Artikel 2 Nummer 42 der Verordnung (EU) 2017/746 weiter durchgeführt werden. Begonnen im Sinne von Satz 1 ist eine Leistungsbewertungsprüfung, wenn nach Vorliegen aller Voraussetzungen für den Beginn der Leistungsbewertungsprüfung der erste Prüfungsteilnehmer in die Teilnahme an der Leistungsbewertungsprüfung eingewilligt hat.</w:t>
      </w:r>
    </w:p>
    <w:p>
      <w:r>
        <w:t xml:space="preserve">(3a) Für Leistungsstudien, die nach dem 26. Mai 2022 begonnen werden sollen, können ab dem 1. April 2022 Anträge nach § 33 über das Deutsche Medizinprodukteinformations- und Datenbanksystem nach § 86 gestellt werden. Die Ethik-Kommissionen führen die Prüfung und Bewertung von Anträgen nach Satz 1 auf der Grundlage der ab dem 26. Mai 2022 geltenden Anforderungen der Verordnung (EU) 2017/746 und nach den Verfahren der §§ 33 bis 37 durch. Abweichend von der in § 36 genannten Frist übermittelt die zuständige Ethik-Kommission die nach § 37 erforderliche Stellungnahme dem Sponsor frühestens am 26. Mai 2022.</w:t>
      </w:r>
    </w:p>
    <w:p>
      <w:r>
        <w:t xml:space="preserve">(4) Für In-vitro-Diagnostika und deren Zubehör im Sinne von § 3 Nummer 4 und 9 des Medizinproduktegesetzes in der bis einschließlich 25. Mai 2021 geltenden Fassung, die ein Verfalldatum haben und die vor dem 30. Juni 2007 zum Zweck des Zivil- und Katastrophenschutzes an die zuständigen Behörden des Bundes oder der Länder oder zur Durchführung der besonderen Aufgaben der Bundeswehr an die Bundeswehr abgegeben wurden, gilt § 44 Absatz 1 des Medizinproduktegesetzes in der bis einschließlich 25. Mai 2021 geltenden Fassung.</w:t>
      </w:r>
    </w:p>
    <w:p>
      <w:r>
        <w:t xml:space="preserve">(5) Die Vorschriften des § 11 sowie der Rechtsverordnung nach § 88 Absatz 1 Satz 1 Nummer 6 gelten unabhängig davon, nach welchen Vorschriften In-vitro-Diagnostika und deren Zubehör im Sinne von § 3 Nummer 4 und 9 des Medizinproduktegesetzes in der bis einschließlich 25. Mai 2021 geltenden Fassung in Verkehr gebracht wurden.</w:t>
      </w:r>
    </w:p>
    <w:p>
      <w:r>
        <w:rPr>
          <w:color w:val="555555"/>
          <w:sz w:val="17"/>
        </w:rPr>
        <w:t xml:space="preserve">Zitiervorschlag: § 100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