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MPAV — (zu § 2 Absatz 1 Satz 1 Nummer 2)</w:t>
      </w:r>
    </w:p>
    <w:p>
      <w:r>
        <w:rPr>
          <w:color w:val="555555"/>
          <w:sz w:val="18"/>
        </w:rPr>
        <w:t xml:space="preserve">Medizinprodukte-Abgabeverordnung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(Fundstelle: BGBl. I 2014, 1228, bzgl. der einzelnen Änderungen vgl. Fußnote)</w:t>
      </w:r>
    </w:p>
    <w:p>
      <w:pPr>
        <w:ind w:left="420"/>
      </w:pPr>
      <w:r>
        <w:t xml:space="preserve">– Oral zu applizierende Sättigungspräparate auf Cellulosebasis mit definiert vorgegebener Geometrie – zur Behandlung des Übergewichts und zur Gewichtskontrolle –</w:t>
      </w:r>
    </w:p>
    <w:p>
      <w:r>
        <w:rPr>
          <w:color w:val="555555"/>
          <w:sz w:val="17"/>
        </w:rPr>
        <w:t xml:space="preserve">Zitiervorschlag: Anlage 1 MPAV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https://recht.nulegal.eu/gesetze/MPAV/anlage-1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