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MPAV — Apothekenpflicht</w:t>
      </w:r>
    </w:p>
    <w:p>
      <w:r>
        <w:rPr>
          <w:color w:val="555555"/>
          <w:sz w:val="18"/>
        </w:rPr>
        <w:t xml:space="preserve">Medizinprodukte-Abgabeverordnung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Produkte</w:t>
      </w:r>
    </w:p>
    <w:p>
      <w:pPr>
        <w:ind w:left="420"/>
      </w:pPr>
      <w:r>
        <w:t xml:space="preserve">1. nach § 2 Absatz 1 Satz 1 Nummer 1,</w:t>
      </w:r>
    </w:p>
    <w:p>
      <w:pPr>
        <w:ind w:left="420"/>
      </w:pPr>
      <w:r>
        <w:t xml:space="preserve">2. die zur Anwendung durch Laien bestimmt sind, soweit sie Stoffe oder Zubereitungen aus Stoffen enthalten, die nach der Verordnung über apothekenpflichtige und freiverkäufliche Arzneimittel apothekenpflichtig sind, oder</w:t>
      </w:r>
    </w:p>
    <w:p>
      <w:pPr>
        <w:ind w:left="420"/>
      </w:pPr>
      <w:r>
        <w:t xml:space="preserve">3. die in Anlage 2 zu dieser Verordnung aufgeführt sind,</w:t>
      </w:r>
    </w:p>
    <w:p>
      <w:r>
        <w:t xml:space="preserve">dürfen berufs- und gewerbsmäßig für den Endverbrauch nur durch Apotheken in den Verkehr gebracht werden (apothekenpflichtige Produkte).</w:t>
      </w:r>
    </w:p>
    <w:p>
      <w:r>
        <w:rPr>
          <w:color w:val="555555"/>
          <w:sz w:val="17"/>
        </w:rPr>
        <w:t xml:space="preserve">Zitiervorschlag: § 3 MPAV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